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2"/>
        <w:numPr>
          <w:numId w:val="0"/>
        </w:numPr>
        <w:ind w:leftChars="0"/>
        <w:rPr>
          <w:rFonts w:hint="eastAsia" w:eastAsia="思源黑体 CN Heavy"/>
          <w:highlight w:val="none"/>
          <w:lang w:val="en-US" w:eastAsia="zh-CN"/>
        </w:rPr>
      </w:pPr>
      <w:bookmarkStart w:id="0" w:name="_Toc551561130"/>
      <w:bookmarkStart w:id="1" w:name="_Toc242595316_WPSOffice_Level1"/>
      <w:bookmarkStart w:id="2" w:name="_Toc3245"/>
      <w:r>
        <w:rPr>
          <w:rFonts w:hint="eastAsia"/>
          <w:highlight w:val="none"/>
          <w:lang w:val="en-US" w:eastAsia="zh-CN"/>
        </w:rPr>
        <w:t xml:space="preserve">1 </w:t>
      </w:r>
      <w:r>
        <w:rPr>
          <w:rFonts w:hint="eastAsia"/>
          <w:highlight w:val="none"/>
        </w:rPr>
        <w:t>比赛内容</w:t>
      </w:r>
      <w:bookmarkEnd w:id="0"/>
      <w:bookmarkEnd w:id="1"/>
      <w:bookmarkEnd w:id="2"/>
      <w:r>
        <w:rPr>
          <w:rFonts w:hint="eastAsia"/>
          <w:highlight w:val="none"/>
          <w:lang w:eastAsia="zh-CN"/>
        </w:rPr>
        <w:t>—</w:t>
      </w:r>
      <w:r>
        <w:rPr>
          <w:highlight w:val="none"/>
        </w:rPr>
        <w:t>MakeX Challenge</w:t>
      </w:r>
      <w:r>
        <w:rPr>
          <w:rFonts w:hint="eastAsia"/>
          <w:highlight w:val="none"/>
          <w:lang w:val="en-US" w:eastAsia="zh-CN"/>
        </w:rPr>
        <w:t xml:space="preserve"> </w:t>
      </w:r>
      <w:r>
        <w:rPr>
          <w:highlight w:val="none"/>
        </w:rPr>
        <w:t>能源革新</w:t>
      </w:r>
    </w:p>
    <w:p>
      <w:pPr>
        <w:pStyle w:val="27"/>
        <w:ind w:firstLine="480"/>
        <w:rPr>
          <w:highlight w:val="none"/>
        </w:rPr>
      </w:pPr>
      <w:r>
        <w:rPr>
          <w:highlight w:val="none"/>
        </w:rPr>
        <w:t>2022</w:t>
      </w:r>
      <w:r>
        <w:rPr>
          <w:rFonts w:hint="eastAsia"/>
          <w:highlight w:val="none"/>
        </w:rPr>
        <w:t>-2023</w:t>
      </w:r>
      <w:r>
        <w:rPr>
          <w:highlight w:val="none"/>
        </w:rPr>
        <w:t xml:space="preserve">赛季 MakeX Challenge 的比赛主题为《能源革新》。 </w:t>
      </w:r>
    </w:p>
    <w:p>
      <w:pPr>
        <w:pStyle w:val="27"/>
        <w:ind w:firstLine="480"/>
        <w:rPr>
          <w:highlight w:val="none"/>
        </w:rPr>
      </w:pPr>
      <w:r>
        <w:rPr>
          <w:highlight w:val="none"/>
        </w:rPr>
        <w:t>再生能源是未来能源的基石，是解决资源分布不均的有效方案，是人类可持续发展的希望之光。再生能源融汇了人们对生产消费的思考及技术开发的创新，能源革新通过超级计算机和云计算技术，不仅将新能源产业链上的每个端口紧密相连，也将无数位热爱这个星球的人凝聚在一起，让我们一起来构建一个可持续发展的新能源地球吧！</w:t>
      </w:r>
    </w:p>
    <w:p>
      <w:pPr>
        <w:pStyle w:val="86"/>
        <w:rPr>
          <w:highlight w:val="none"/>
        </w:rPr>
      </w:pPr>
      <w:bookmarkStart w:id="3" w:name="_Toc1548491458"/>
      <w:bookmarkStart w:id="4" w:name="_Toc22364"/>
      <w:bookmarkStart w:id="5" w:name="_Toc1952461851_WPSOffice_Level2"/>
      <w:r>
        <w:rPr>
          <w:rFonts w:hint="eastAsia"/>
          <w:highlight w:val="none"/>
        </w:rPr>
        <w:t>玩法</w:t>
      </w:r>
      <w:bookmarkEnd w:id="3"/>
      <w:bookmarkEnd w:id="4"/>
      <w:r>
        <w:rPr>
          <w:rFonts w:hint="eastAsia"/>
          <w:highlight w:val="none"/>
          <w:lang w:eastAsia="zh-Hans"/>
        </w:rPr>
        <w:t>简介</w:t>
      </w:r>
      <w:bookmarkEnd w:id="5"/>
    </w:p>
    <w:p>
      <w:pPr>
        <w:pStyle w:val="27"/>
        <w:ind w:firstLine="480"/>
        <w:rPr>
          <w:highlight w:val="none"/>
        </w:rPr>
      </w:pPr>
      <w:r>
        <w:rPr>
          <w:highlight w:val="none"/>
        </w:rPr>
        <w:t xml:space="preserve">单场比赛时间：4分40秒。 </w:t>
      </w:r>
    </w:p>
    <w:p>
      <w:pPr>
        <w:pStyle w:val="27"/>
        <w:ind w:firstLine="480"/>
        <w:rPr>
          <w:highlight w:val="none"/>
        </w:rPr>
      </w:pPr>
      <w:r>
        <w:rPr>
          <w:highlight w:val="none"/>
        </w:rPr>
        <w:t xml:space="preserve">MakeX Challenge 能源革新为竞技对抗赛，每场比赛分为红蓝两个联盟，每个联盟由 2 支战队组成。 </w:t>
      </w:r>
    </w:p>
    <w:p>
      <w:pPr>
        <w:pStyle w:val="27"/>
        <w:ind w:firstLine="480"/>
        <w:rPr>
          <w:highlight w:val="none"/>
        </w:rPr>
      </w:pPr>
      <w:r>
        <w:rPr>
          <w:highlight w:val="none"/>
        </w:rPr>
        <w:t>比赛分为自动控制阶段、手动控制阶段、强化改装阶段和全力一搏阶段四个阶段。比赛中参赛队员将控制机器人，以自动或手动的方式完成启动及回收新能源球瓶（红</w:t>
      </w:r>
      <w:r>
        <w:rPr>
          <w:rFonts w:hint="eastAsia"/>
          <w:highlight w:val="none"/>
        </w:rPr>
        <w:t>/</w:t>
      </w:r>
      <w:r>
        <w:rPr>
          <w:highlight w:val="none"/>
        </w:rPr>
        <w:t>蓝球瓶），计算及存储数据块（</w:t>
      </w:r>
      <w:r>
        <w:rPr>
          <w:rFonts w:hint="eastAsia"/>
          <w:highlight w:val="none"/>
        </w:rPr>
        <w:t>字母方块</w:t>
      </w:r>
      <w:r>
        <w:rPr>
          <w:highlight w:val="none"/>
        </w:rPr>
        <w:t>）等任务；比赛结束时，裁判会根据场上的</w:t>
      </w:r>
      <w:r>
        <w:rPr>
          <w:rFonts w:hint="eastAsia"/>
          <w:highlight w:val="none"/>
        </w:rPr>
        <w:t>得分道具</w:t>
      </w:r>
      <w:r>
        <w:rPr>
          <w:highlight w:val="none"/>
        </w:rPr>
        <w:t>最终状态计算分数，分数高的联盟将获得比赛的胜利。</w:t>
      </w:r>
    </w:p>
    <w:p>
      <w:pPr>
        <w:pStyle w:val="27"/>
        <w:spacing w:line="240" w:lineRule="auto"/>
        <w:ind w:firstLine="0" w:firstLineChars="0"/>
        <w:rPr>
          <w:highlight w:val="none"/>
        </w:rPr>
      </w:pPr>
      <w:r>
        <w:rPr>
          <w:highlight w:val="none"/>
        </w:rPr>
        <w:drawing>
          <wp:inline distT="0" distB="0" distL="114300" distR="114300">
            <wp:extent cx="5267325" cy="2888615"/>
            <wp:effectExtent l="0" t="0" r="0" b="0"/>
            <wp:docPr id="41" name="图片 41" descr="图4.2 场地整体轴侧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4.2 场地整体轴侧图已标注"/>
                    <pic:cNvPicPr>
                      <a:picLocks noChangeAspect="1"/>
                    </pic:cNvPicPr>
                  </pic:nvPicPr>
                  <pic:blipFill>
                    <a:blip r:embed="rId8"/>
                    <a:stretch>
                      <a:fillRect/>
                    </a:stretch>
                  </pic:blipFill>
                  <pic:spPr>
                    <a:xfrm>
                      <a:off x="0" y="0"/>
                      <a:ext cx="5267325" cy="2888615"/>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w:t>
      </w:r>
      <w:r>
        <w:rPr>
          <w:highlight w:val="none"/>
        </w:rPr>
        <w:t>1</w:t>
      </w:r>
      <w:r>
        <w:rPr>
          <w:rFonts w:hint="eastAsia"/>
          <w:highlight w:val="none"/>
        </w:rPr>
        <w:t xml:space="preserve"> 场地整体轴侧图</w:t>
      </w:r>
    </w:p>
    <w:p>
      <w:pPr>
        <w:pStyle w:val="86"/>
        <w:rPr>
          <w:highlight w:val="none"/>
        </w:rPr>
      </w:pPr>
      <w:bookmarkStart w:id="6" w:name="_Toc141616613"/>
      <w:bookmarkStart w:id="7" w:name="_Toc3674"/>
      <w:bookmarkStart w:id="8" w:name="_Toc1476203597_WPSOffice_Level2"/>
      <w:r>
        <w:rPr>
          <w:rFonts w:hint="eastAsia"/>
          <w:highlight w:val="none"/>
        </w:rPr>
        <w:t>场地说明</w:t>
      </w:r>
      <w:bookmarkEnd w:id="6"/>
      <w:bookmarkEnd w:id="7"/>
      <w:bookmarkEnd w:id="8"/>
    </w:p>
    <w:p>
      <w:pPr>
        <w:pStyle w:val="27"/>
        <w:ind w:firstLine="480"/>
        <w:rPr>
          <w:highlight w:val="none"/>
        </w:rPr>
      </w:pPr>
      <w:r>
        <w:rPr>
          <w:highlight w:val="none"/>
        </w:rPr>
        <w:t xml:space="preserve">MakeX Challenge 能源革新比赛场地由地图和边框组成。比赛场地大小为2985mm*4185mm的矩形区域，场地侧边框高度为400mm。主要包括启动区、可再生能源区、新能源数据存储中心、能源回收区、能源利用站、新能源数据收集中心、新能源数据计算中心、旗帜悬挂区等。 </w:t>
      </w:r>
    </w:p>
    <w:p>
      <w:pPr>
        <w:pStyle w:val="27"/>
        <w:ind w:firstLine="480"/>
        <w:rPr>
          <w:highlight w:val="none"/>
        </w:rPr>
      </w:pPr>
      <w:r>
        <w:rPr>
          <w:highlight w:val="none"/>
        </w:rPr>
        <w:t>新能源数据存储中心、新能源数据收集中心、新能源数据计算中心，下文中统一简称为：数据存储中心、数据收集中心、数据计算中心。</w:t>
      </w:r>
    </w:p>
    <w:p>
      <w:pPr>
        <w:pStyle w:val="27"/>
        <w:spacing w:line="240" w:lineRule="auto"/>
        <w:ind w:firstLine="0" w:firstLineChars="0"/>
        <w:rPr>
          <w:highlight w:val="none"/>
        </w:rPr>
      </w:pPr>
      <w:r>
        <w:rPr>
          <w:highlight w:val="none"/>
        </w:rPr>
        <w:drawing>
          <wp:inline distT="0" distB="0" distL="114300" distR="114300">
            <wp:extent cx="5087620" cy="3762375"/>
            <wp:effectExtent l="0" t="0" r="5080" b="0"/>
            <wp:docPr id="51" name="图片 51" descr="/Users/cody/Nutstore Files/我的坚果云/2022赛季MakeX Challenge 能源革新/2022赛季 MakeX Challenge能源革新规则配图/输出文件/CN/2022MakeXChallenge比赛场地/图4.2-2比赛地图区域标注/图4.2-2比赛地图区域标注已标注.png图4.2-2比赛地图区域标注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Users/cody/Nutstore Files/我的坚果云/2022赛季MakeX Challenge 能源革新/2022赛季 MakeX Challenge能源革新规则配图/输出文件/CN/2022MakeXChallenge比赛场地/图4.2-2比赛地图区域标注/图4.2-2比赛地图区域标注已标注.png图4.2-2比赛地图区域标注已标注"/>
                    <pic:cNvPicPr>
                      <a:picLocks noChangeAspect="1"/>
                    </pic:cNvPicPr>
                  </pic:nvPicPr>
                  <pic:blipFill>
                    <a:blip r:embed="rId9"/>
                    <a:srcRect l="9186" r="8904"/>
                    <a:stretch>
                      <a:fillRect/>
                    </a:stretch>
                  </pic:blipFill>
                  <pic:spPr>
                    <a:xfrm>
                      <a:off x="0" y="0"/>
                      <a:ext cx="5087841" cy="3762375"/>
                    </a:xfrm>
                    <a:prstGeom prst="rect">
                      <a:avLst/>
                    </a:prstGeom>
                    <a:ln>
                      <a:noFill/>
                    </a:ln>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.2-1 场地整体轴侧图</w:t>
      </w:r>
    </w:p>
    <w:p>
      <w:pPr>
        <w:rPr>
          <w:highlight w:val="none"/>
        </w:rPr>
      </w:pPr>
      <w:r>
        <w:rPr>
          <w:highlight w:val="none"/>
        </w:rPr>
        <w:br w:type="page"/>
      </w:r>
    </w:p>
    <w:p>
      <w:pPr>
        <w:pStyle w:val="27"/>
        <w:ind w:firstLine="480"/>
        <w:rPr>
          <w:highlight w:val="none"/>
        </w:rPr>
      </w:pPr>
      <w:r>
        <w:rPr>
          <w:highlight w:val="none"/>
        </w:rPr>
        <w:t>场地分为红方场地和蓝方场地，中央设有数据收集中心。双方机器人仅允许在各自场地内完成相应的任务。</w:t>
      </w:r>
    </w:p>
    <w:p>
      <w:pPr>
        <w:pStyle w:val="27"/>
        <w:ind w:firstLine="480"/>
        <w:rPr>
          <w:highlight w:val="none"/>
        </w:rPr>
      </w:pPr>
    </w:p>
    <w:p>
      <w:pPr>
        <w:pStyle w:val="16"/>
        <w:spacing w:line="240" w:lineRule="auto"/>
        <w:jc w:val="center"/>
        <w:rPr>
          <w:highlight w:val="none"/>
        </w:rPr>
      </w:pPr>
      <w:r>
        <w:rPr>
          <w:rFonts w:hint="eastAsia"/>
          <w:highlight w:val="none"/>
        </w:rPr>
        <w:drawing>
          <wp:inline distT="0" distB="0" distL="114300" distR="114300">
            <wp:extent cx="5470525" cy="2995930"/>
            <wp:effectExtent l="0" t="0" r="0" b="0"/>
            <wp:docPr id="8" name="图片 8" descr="916c4eb1-4afb-43ee-850f-16c312666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16c4eb1-4afb-43ee-850f-16c312666a8c"/>
                    <pic:cNvPicPr>
                      <a:picLocks noChangeAspect="1"/>
                    </pic:cNvPicPr>
                  </pic:nvPicPr>
                  <pic:blipFill>
                    <a:blip r:embed="rId10"/>
                    <a:stretch>
                      <a:fillRect/>
                    </a:stretch>
                  </pic:blipFill>
                  <pic:spPr>
                    <a:xfrm>
                      <a:off x="0" y="0"/>
                      <a:ext cx="5470525" cy="2995930"/>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.2-2 场地整体轴侧图</w:t>
      </w:r>
    </w:p>
    <w:p>
      <w:pPr>
        <w:pStyle w:val="27"/>
        <w:ind w:firstLine="0" w:firstLineChars="0"/>
        <w:rPr>
          <w:rStyle w:val="82"/>
          <w:rFonts w:hint="eastAsia"/>
          <w:highlight w:val="none"/>
        </w:rPr>
      </w:pPr>
      <w:r>
        <w:rPr>
          <w:rFonts w:hint="eastAsia" w:ascii="思源黑体 CN Heavy" w:hAnsi="思源黑体 CN Heavy" w:eastAsia="思源黑体 CN Heavy"/>
          <w:b/>
          <w:color w:val="2E75B6" w:themeColor="accent1" w:themeShade="BF"/>
          <w:highlight w:val="none"/>
        </w:rPr>
        <w:t>数据收集中心</w:t>
      </w:r>
      <w:r>
        <w:rPr>
          <w:rStyle w:val="82"/>
          <w:rFonts w:hint="eastAsia"/>
          <w:highlight w:val="none"/>
        </w:rPr>
        <w:t xml:space="preserve"> </w:t>
      </w:r>
    </w:p>
    <w:p>
      <w:pPr>
        <w:pStyle w:val="27"/>
        <w:ind w:firstLine="480"/>
        <w:rPr>
          <w:highlight w:val="none"/>
        </w:rPr>
      </w:pPr>
      <w:r>
        <w:rPr>
          <w:highlight w:val="none"/>
        </w:rPr>
        <w:t>数据收集中心双方场地交界处有一处长宽为2985mm*200mm的数据收集中心（图4.2-3），数据收集中心放置有9个双方均可以获取的</w:t>
      </w:r>
      <w:r>
        <w:rPr>
          <w:rFonts w:hint="eastAsia"/>
          <w:highlight w:val="none"/>
        </w:rPr>
        <w:t>字母</w:t>
      </w:r>
      <w:r>
        <w:rPr>
          <w:highlight w:val="none"/>
        </w:rPr>
        <w:t>方块，</w:t>
      </w:r>
      <w:r>
        <w:rPr>
          <w:rFonts w:hint="eastAsia"/>
          <w:highlight w:val="none"/>
        </w:rPr>
        <w:t>字母</w:t>
      </w:r>
      <w:r>
        <w:rPr>
          <w:highlight w:val="none"/>
        </w:rPr>
        <w:t>方块的位置与顺序是固定摆放（图4.2-4 ）</w:t>
      </w:r>
      <w:r>
        <w:rPr>
          <w:rFonts w:hint="eastAsia"/>
          <w:highlight w:val="none"/>
        </w:rPr>
        <w:t>，</w:t>
      </w:r>
      <w:r>
        <w:rPr>
          <w:highlight w:val="none"/>
        </w:rPr>
        <w:t>地面到数据收集中心</w:t>
      </w:r>
      <w:r>
        <w:rPr>
          <w:rFonts w:hint="eastAsia"/>
          <w:highlight w:val="none"/>
        </w:rPr>
        <w:t>顶端</w:t>
      </w:r>
      <w:r>
        <w:rPr>
          <w:highlight w:val="none"/>
        </w:rPr>
        <w:t>的高度为254mm，地面到</w:t>
      </w:r>
      <w:r>
        <w:rPr>
          <w:rFonts w:hint="eastAsia"/>
          <w:highlight w:val="none"/>
        </w:rPr>
        <w:t>字母</w:t>
      </w:r>
      <w:r>
        <w:rPr>
          <w:highlight w:val="none"/>
        </w:rPr>
        <w:t>方块</w:t>
      </w:r>
      <w:r>
        <w:rPr>
          <w:rFonts w:hint="eastAsia"/>
          <w:highlight w:val="none"/>
        </w:rPr>
        <w:t>顶端</w:t>
      </w:r>
      <w:r>
        <w:rPr>
          <w:highlight w:val="none"/>
        </w:rPr>
        <w:t>的距离为335mm（图4.2-5 ）</w:t>
      </w:r>
    </w:p>
    <w:p>
      <w:pPr>
        <w:pStyle w:val="7"/>
        <w:spacing w:line="240" w:lineRule="auto"/>
        <w:rPr>
          <w:highlight w:val="none"/>
        </w:rPr>
      </w:pPr>
      <w:r>
        <w:rPr>
          <w:rFonts w:hint="eastAsia"/>
          <w:highlight w:val="none"/>
        </w:rPr>
        <w:drawing>
          <wp:inline distT="0" distB="0" distL="114300" distR="114300">
            <wp:extent cx="5270500" cy="692150"/>
            <wp:effectExtent l="0" t="0" r="6350" b="0"/>
            <wp:docPr id="43" name="图片 43" descr="图4.2-3收集中心俯视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4.2-3收集中心俯视图已标注"/>
                    <pic:cNvPicPr>
                      <a:picLocks noChangeAspect="1"/>
                    </pic:cNvPicPr>
                  </pic:nvPicPr>
                  <pic:blipFill>
                    <a:blip r:embed="rId11"/>
                    <a:stretch>
                      <a:fillRect/>
                    </a:stretch>
                  </pic:blipFill>
                  <pic:spPr>
                    <a:xfrm>
                      <a:off x="0" y="0"/>
                      <a:ext cx="5270500" cy="692150"/>
                    </a:xfrm>
                    <a:prstGeom prst="rect">
                      <a:avLst/>
                    </a:prstGeom>
                  </pic:spPr>
                </pic:pic>
              </a:graphicData>
            </a:graphic>
          </wp:inline>
        </w:drawing>
      </w:r>
    </w:p>
    <w:p>
      <w:pPr>
        <w:pStyle w:val="16"/>
        <w:jc w:val="center"/>
        <w:rPr>
          <w:highlight w:val="none"/>
        </w:rPr>
      </w:pPr>
      <w:r>
        <w:rPr>
          <w:highlight w:val="none"/>
        </w:rPr>
        <w:t>图4.2-3 收集中心俯视图</w:t>
      </w:r>
    </w:p>
    <w:p>
      <w:pPr>
        <w:pStyle w:val="7"/>
        <w:spacing w:line="240" w:lineRule="auto"/>
        <w:jc w:val="center"/>
        <w:rPr>
          <w:highlight w:val="none"/>
        </w:rPr>
      </w:pPr>
      <w:r>
        <w:rPr>
          <w:rFonts w:hint="eastAsia"/>
          <w:highlight w:val="none"/>
        </w:rPr>
        <w:drawing>
          <wp:inline distT="0" distB="0" distL="114300" distR="114300">
            <wp:extent cx="5093970" cy="796925"/>
            <wp:effectExtent l="0" t="0" r="11430" b="3175"/>
            <wp:docPr id="44" name="图片 44" descr="图4.2-4数据块间隔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4.2-4数据块间隔示意图已标注"/>
                    <pic:cNvPicPr>
                      <a:picLocks noChangeAspect="1"/>
                    </pic:cNvPicPr>
                  </pic:nvPicPr>
                  <pic:blipFill>
                    <a:blip r:embed="rId12"/>
                    <a:stretch>
                      <a:fillRect/>
                    </a:stretch>
                  </pic:blipFill>
                  <pic:spPr>
                    <a:xfrm>
                      <a:off x="0" y="0"/>
                      <a:ext cx="5093970" cy="796925"/>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.2-4 数据块间隔示意图</w:t>
      </w:r>
    </w:p>
    <w:p>
      <w:pPr>
        <w:pStyle w:val="7"/>
        <w:spacing w:line="240" w:lineRule="auto"/>
        <w:rPr>
          <w:highlight w:val="none"/>
        </w:rPr>
      </w:pPr>
      <w:r>
        <w:rPr>
          <w:highlight w:val="none"/>
        </w:rPr>
        <w:drawing>
          <wp:inline distT="0" distB="0" distL="114300" distR="114300">
            <wp:extent cx="5267325" cy="1698625"/>
            <wp:effectExtent l="0" t="0" r="15875" b="3175"/>
            <wp:docPr id="13" name="图片 13" descr="图4.2-4数数据收集中心正视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4.2-4数数据收集中心正视图已标注"/>
                    <pic:cNvPicPr>
                      <a:picLocks noChangeAspect="1"/>
                    </pic:cNvPicPr>
                  </pic:nvPicPr>
                  <pic:blipFill>
                    <a:blip r:embed="rId13"/>
                    <a:stretch>
                      <a:fillRect/>
                    </a:stretch>
                  </pic:blipFill>
                  <pic:spPr>
                    <a:xfrm>
                      <a:off x="0" y="0"/>
                      <a:ext cx="5267325" cy="1698625"/>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.2-5 数据收集中心正视图</w:t>
      </w:r>
    </w:p>
    <w:p>
      <w:pPr>
        <w:widowControl/>
        <w:jc w:val="center"/>
        <w:rPr>
          <w:rFonts w:ascii="宋体" w:hAnsi="宋体" w:eastAsia="宋体" w:cs="宋体"/>
          <w:b/>
          <w:bCs/>
          <w:kern w:val="0"/>
          <w:sz w:val="24"/>
          <w:szCs w:val="24"/>
          <w:highlight w:val="none"/>
          <w:lang w:bidi="ar"/>
        </w:rPr>
      </w:pPr>
    </w:p>
    <w:p>
      <w:pPr>
        <w:pStyle w:val="71"/>
        <w:rPr>
          <w:highlight w:val="none"/>
        </w:rPr>
      </w:pPr>
      <w:r>
        <w:rPr>
          <w:rFonts w:hint="eastAsia"/>
          <w:highlight w:val="none"/>
        </w:rPr>
        <w:t xml:space="preserve">启动区 </w:t>
      </w:r>
    </w:p>
    <w:p>
      <w:pPr>
        <w:pStyle w:val="27"/>
        <w:ind w:firstLine="480"/>
        <w:rPr>
          <w:rFonts w:ascii="宋体" w:hAnsi="宋体" w:eastAsia="宋体" w:cs="宋体"/>
          <w:kern w:val="0"/>
          <w:szCs w:val="24"/>
          <w:highlight w:val="none"/>
          <w:lang w:bidi="ar"/>
        </w:rPr>
      </w:pPr>
      <w:r>
        <w:rPr>
          <w:highlight w:val="none"/>
        </w:rPr>
        <w:t>双方场地各有两处启动区，每个启动区的尺寸为500mm*500mm。启动区是自动阶段和全力一搏阶段前机器人放置的区域，启动区位于场地的四个角落</w:t>
      </w:r>
      <w:r>
        <w:rPr>
          <w:rFonts w:ascii="宋体" w:hAnsi="宋体" w:eastAsia="宋体" w:cs="宋体"/>
          <w:kern w:val="0"/>
          <w:szCs w:val="24"/>
          <w:highlight w:val="none"/>
          <w:lang w:bidi="ar"/>
        </w:rPr>
        <w:t>。</w:t>
      </w:r>
    </w:p>
    <w:p>
      <w:pPr>
        <w:pStyle w:val="27"/>
        <w:spacing w:line="240" w:lineRule="auto"/>
        <w:ind w:firstLine="480"/>
        <w:jc w:val="center"/>
        <w:rPr>
          <w:rFonts w:ascii="宋体" w:hAnsi="宋体" w:eastAsia="宋体" w:cs="宋体"/>
          <w:kern w:val="0"/>
          <w:szCs w:val="24"/>
          <w:highlight w:val="none"/>
          <w:lang w:bidi="ar"/>
        </w:rPr>
      </w:pPr>
      <w:r>
        <w:rPr>
          <w:rFonts w:ascii="宋体" w:hAnsi="宋体" w:eastAsia="宋体" w:cs="宋体"/>
          <w:kern w:val="0"/>
          <w:szCs w:val="24"/>
          <w:highlight w:val="none"/>
          <w:lang w:bidi="ar"/>
        </w:rPr>
        <w:drawing>
          <wp:inline distT="0" distB="0" distL="114300" distR="114300">
            <wp:extent cx="2939415" cy="1521460"/>
            <wp:effectExtent l="0" t="0" r="6985" b="2540"/>
            <wp:docPr id="4" name="图片 4" descr="图4.2-5.启动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4.2-5.启动区示意图已标注"/>
                    <pic:cNvPicPr>
                      <a:picLocks noChangeAspect="1"/>
                    </pic:cNvPicPr>
                  </pic:nvPicPr>
                  <pic:blipFill>
                    <a:blip r:embed="rId14"/>
                    <a:stretch>
                      <a:fillRect/>
                    </a:stretch>
                  </pic:blipFill>
                  <pic:spPr>
                    <a:xfrm>
                      <a:off x="0" y="0"/>
                      <a:ext cx="2939415" cy="1521460"/>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.2-6 启动区示意图</w:t>
      </w:r>
    </w:p>
    <w:p>
      <w:pPr>
        <w:pStyle w:val="71"/>
        <w:rPr>
          <w:highlight w:val="none"/>
        </w:rPr>
      </w:pPr>
      <w:r>
        <w:rPr>
          <w:rFonts w:hint="eastAsia"/>
          <w:highlight w:val="none"/>
        </w:rPr>
        <w:t xml:space="preserve">数据计算中心 </w:t>
      </w:r>
    </w:p>
    <w:p>
      <w:pPr>
        <w:pStyle w:val="27"/>
        <w:ind w:firstLine="480"/>
        <w:rPr>
          <w:highlight w:val="none"/>
        </w:rPr>
      </w:pPr>
      <w:r>
        <w:rPr>
          <w:highlight w:val="none"/>
        </w:rPr>
        <w:t>双方场地各有一处数据计算中心，</w:t>
      </w:r>
      <w:r>
        <w:rPr>
          <w:rFonts w:hint="eastAsia"/>
          <w:highlight w:val="none"/>
        </w:rPr>
        <w:t>数据</w:t>
      </w:r>
      <w:r>
        <w:rPr>
          <w:highlight w:val="none"/>
        </w:rPr>
        <w:t>计算中心的尺寸为2985mm*200mm。双方选手可以将</w:t>
      </w:r>
      <w:r>
        <w:rPr>
          <w:rFonts w:hint="eastAsia"/>
          <w:highlight w:val="none"/>
        </w:rPr>
        <w:t>字母</w:t>
      </w:r>
      <w:r>
        <w:rPr>
          <w:highlight w:val="none"/>
        </w:rPr>
        <w:t>方块在</w:t>
      </w:r>
      <w:r>
        <w:rPr>
          <w:rFonts w:hint="eastAsia"/>
          <w:highlight w:val="none"/>
        </w:rPr>
        <w:t>数据</w:t>
      </w:r>
      <w:r>
        <w:rPr>
          <w:highlight w:val="none"/>
        </w:rPr>
        <w:t>计算中心放置或堆叠，以保护回收区和可再生能源区的球瓶不被攻击。</w:t>
      </w:r>
    </w:p>
    <w:p>
      <w:pPr>
        <w:pStyle w:val="27"/>
        <w:spacing w:line="240" w:lineRule="auto"/>
        <w:ind w:firstLine="480"/>
        <w:jc w:val="center"/>
        <w:rPr>
          <w:highlight w:val="none"/>
        </w:rPr>
      </w:pPr>
      <w:r>
        <w:rPr>
          <w:highlight w:val="none"/>
        </w:rPr>
        <w:drawing>
          <wp:inline distT="0" distB="0" distL="114300" distR="114300">
            <wp:extent cx="5273040" cy="1421765"/>
            <wp:effectExtent l="0" t="0" r="10160" b="0"/>
            <wp:docPr id="5" name="图片 5" descr="图4.2-7.数据计算中心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4.2-7.数据计算中心示意图已标注"/>
                    <pic:cNvPicPr>
                      <a:picLocks noChangeAspect="1"/>
                    </pic:cNvPicPr>
                  </pic:nvPicPr>
                  <pic:blipFill>
                    <a:blip r:embed="rId15"/>
                    <a:stretch>
                      <a:fillRect/>
                    </a:stretch>
                  </pic:blipFill>
                  <pic:spPr>
                    <a:xfrm>
                      <a:off x="0" y="0"/>
                      <a:ext cx="5273040" cy="1421765"/>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.2-7 数据计算中心示意图</w:t>
      </w:r>
    </w:p>
    <w:p>
      <w:pPr>
        <w:pStyle w:val="71"/>
        <w:rPr>
          <w:highlight w:val="none"/>
        </w:rPr>
      </w:pPr>
      <w:r>
        <w:rPr>
          <w:rFonts w:hint="eastAsia"/>
          <w:highlight w:val="none"/>
        </w:rPr>
        <w:t xml:space="preserve">能源回收区 </w:t>
      </w:r>
    </w:p>
    <w:p>
      <w:pPr>
        <w:pStyle w:val="27"/>
        <w:ind w:firstLine="480"/>
        <w:rPr>
          <w:highlight w:val="none"/>
        </w:rPr>
      </w:pPr>
      <w:r>
        <w:rPr>
          <w:highlight w:val="none"/>
        </w:rPr>
        <w:t>双方场地各有一处能源回收区，能源回收区的尺寸为500mm*1000mm。双方选手可以将被击落的可再生能源瓶放置于该区域以获得相应分数。</w:t>
      </w:r>
    </w:p>
    <w:p>
      <w:pPr>
        <w:pStyle w:val="16"/>
        <w:jc w:val="both"/>
        <w:rPr>
          <w:highlight w:val="none"/>
        </w:rPr>
      </w:pPr>
    </w:p>
    <w:p>
      <w:pPr>
        <w:pStyle w:val="16"/>
        <w:spacing w:line="240" w:lineRule="auto"/>
        <w:jc w:val="center"/>
        <w:rPr>
          <w:highlight w:val="none"/>
        </w:rPr>
      </w:pPr>
      <w:r>
        <w:rPr>
          <w:rFonts w:hint="eastAsia"/>
          <w:highlight w:val="none"/>
        </w:rPr>
        <w:drawing>
          <wp:inline distT="0" distB="0" distL="114300" distR="114300">
            <wp:extent cx="3496945" cy="1737995"/>
            <wp:effectExtent l="0" t="0" r="0" b="15240"/>
            <wp:docPr id="12" name="图片 12" descr="f5ad91e8-dba3-45e2-9773-1b6fab6bb1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5ad91e8-dba3-45e2-9773-1b6fab6bb1b5"/>
                    <pic:cNvPicPr>
                      <a:picLocks noChangeAspect="1"/>
                    </pic:cNvPicPr>
                  </pic:nvPicPr>
                  <pic:blipFill>
                    <a:blip r:embed="rId16"/>
                    <a:stretch>
                      <a:fillRect/>
                    </a:stretch>
                  </pic:blipFill>
                  <pic:spPr>
                    <a:xfrm>
                      <a:off x="0" y="0"/>
                      <a:ext cx="3496945" cy="1737995"/>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.2-8 能源回收区俯视图</w:t>
      </w:r>
    </w:p>
    <w:p>
      <w:pPr>
        <w:pStyle w:val="71"/>
        <w:rPr>
          <w:highlight w:val="none"/>
        </w:rPr>
      </w:pPr>
      <w:r>
        <w:rPr>
          <w:rFonts w:hint="eastAsia"/>
          <w:highlight w:val="none"/>
        </w:rPr>
        <w:t xml:space="preserve">能源利用站 </w:t>
      </w:r>
    </w:p>
    <w:p>
      <w:pPr>
        <w:pStyle w:val="27"/>
        <w:ind w:firstLine="480"/>
        <w:rPr>
          <w:highlight w:val="none"/>
        </w:rPr>
      </w:pPr>
      <w:r>
        <w:rPr>
          <w:highlight w:val="none"/>
        </w:rPr>
        <w:t xml:space="preserve">双方场地各有两处能源利用站，能源利用站的尺寸为：230mm*230mm每处放置16个直径70mm的能源启动球，双方选手可收集己方场地内的能源启动球，击打对方球瓶。 </w:t>
      </w:r>
    </w:p>
    <w:p>
      <w:pPr>
        <w:pStyle w:val="27"/>
        <w:spacing w:line="240" w:lineRule="auto"/>
        <w:ind w:firstLine="480"/>
        <w:jc w:val="center"/>
        <w:rPr>
          <w:highlight w:val="none"/>
        </w:rPr>
      </w:pPr>
      <w:r>
        <w:rPr>
          <w:highlight w:val="none"/>
        </w:rPr>
        <w:drawing>
          <wp:inline distT="0" distB="0" distL="114300" distR="114300">
            <wp:extent cx="2624455" cy="1407795"/>
            <wp:effectExtent l="0" t="0" r="4445" b="1905"/>
            <wp:docPr id="9" name="图片 9" descr="E:\我的坚果云\A3-MakeX_设计文件_2022\A1-2022赛事规则配图\A2-2022赛季MakeX Challenge能源革新\编辑文件\4x\资源 122@4x.png资源 122@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我的坚果云\A3-MakeX_设计文件_2022\A1-2022赛事规则配图\A2-2022赛季MakeX Challenge能源革新\编辑文件\4x\资源 122@4x.png资源 122@4x"/>
                    <pic:cNvPicPr>
                      <a:picLocks noChangeAspect="1"/>
                    </pic:cNvPicPr>
                  </pic:nvPicPr>
                  <pic:blipFill>
                    <a:blip r:embed="rId17"/>
                    <a:srcRect/>
                    <a:stretch>
                      <a:fillRect/>
                    </a:stretch>
                  </pic:blipFill>
                  <pic:spPr>
                    <a:xfrm>
                      <a:off x="0" y="0"/>
                      <a:ext cx="2624455" cy="1407795"/>
                    </a:xfrm>
                    <a:prstGeom prst="rect">
                      <a:avLst/>
                    </a:prstGeom>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 xml:space="preserve">.2-9 能源利用站示意图 </w:t>
      </w:r>
    </w:p>
    <w:p>
      <w:pPr>
        <w:pStyle w:val="27"/>
        <w:ind w:firstLine="0" w:firstLineChars="0"/>
        <w:rPr>
          <w:rStyle w:val="82"/>
          <w:rFonts w:hint="eastAsia"/>
          <w:highlight w:val="none"/>
        </w:rPr>
      </w:pPr>
      <w:r>
        <w:rPr>
          <w:rFonts w:hint="eastAsia" w:ascii="思源黑体 CN Heavy" w:hAnsi="思源黑体 CN Heavy" w:eastAsia="思源黑体 CN Heavy"/>
          <w:b/>
          <w:color w:val="2E75B6" w:themeColor="accent1" w:themeShade="BF"/>
          <w:highlight w:val="none"/>
        </w:rPr>
        <w:t>可再生能源区</w:t>
      </w:r>
      <w:r>
        <w:rPr>
          <w:rStyle w:val="82"/>
          <w:rFonts w:hint="eastAsia"/>
          <w:highlight w:val="none"/>
        </w:rPr>
        <w:t xml:space="preserve"> </w:t>
      </w:r>
    </w:p>
    <w:p>
      <w:pPr>
        <w:pStyle w:val="27"/>
        <w:ind w:firstLine="480"/>
        <w:rPr>
          <w:highlight w:val="none"/>
        </w:rPr>
      </w:pPr>
      <w:r>
        <w:rPr>
          <w:highlight w:val="none"/>
        </w:rPr>
        <w:t>双方场地各有一处可再生能源区，可再生能源区分为上下两层,上层区域尺寸为：110mm*2895mm,下层区域尺寸为：150mm*885mm，每方场地各有12个可再生能源瓶，参赛队伍可将12个可再生能源瓶放置在可再生能源区域内，每层放置的可再生能源瓶的位置和数量由双方联盟队长在赛前决定。</w:t>
      </w:r>
    </w:p>
    <w:p>
      <w:pPr>
        <w:pStyle w:val="27"/>
        <w:spacing w:line="240" w:lineRule="auto"/>
        <w:ind w:firstLine="480"/>
        <w:jc w:val="center"/>
        <w:rPr>
          <w:highlight w:val="none"/>
        </w:rPr>
      </w:pPr>
      <w:r>
        <w:rPr>
          <w:highlight w:val="none"/>
        </w:rPr>
        <w:drawing>
          <wp:inline distT="0" distB="0" distL="114300" distR="114300">
            <wp:extent cx="4977130" cy="3207385"/>
            <wp:effectExtent l="0" t="0" r="1270" b="5715"/>
            <wp:docPr id="14" name="图片 14" descr="图4.2-10 可再生能源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4.2-10 可再生能源区示意图已标注"/>
                    <pic:cNvPicPr>
                      <a:picLocks noChangeAspect="1"/>
                    </pic:cNvPicPr>
                  </pic:nvPicPr>
                  <pic:blipFill>
                    <a:blip r:embed="rId18"/>
                    <a:srcRect b="3162"/>
                    <a:stretch>
                      <a:fillRect/>
                    </a:stretch>
                  </pic:blipFill>
                  <pic:spPr>
                    <a:xfrm>
                      <a:off x="0" y="0"/>
                      <a:ext cx="4977130" cy="3207433"/>
                    </a:xfrm>
                    <a:prstGeom prst="rect">
                      <a:avLst/>
                    </a:prstGeom>
                    <a:ln>
                      <a:noFill/>
                    </a:ln>
                  </pic:spPr>
                </pic:pic>
              </a:graphicData>
            </a:graphic>
          </wp:inline>
        </w:drawing>
      </w:r>
    </w:p>
    <w:p>
      <w:pPr>
        <w:pStyle w:val="16"/>
        <w:jc w:val="center"/>
        <w:rPr>
          <w:highlight w:val="none"/>
        </w:rPr>
      </w:pPr>
      <w:r>
        <w:rPr>
          <w:highlight w:val="none"/>
        </w:rPr>
        <w:t>图</w:t>
      </w:r>
      <w:r>
        <w:rPr>
          <w:rFonts w:hint="eastAsia"/>
          <w:highlight w:val="none"/>
          <w:lang w:val="en-US" w:eastAsia="zh-CN"/>
        </w:rPr>
        <w:t>1</w:t>
      </w:r>
      <w:r>
        <w:rPr>
          <w:highlight w:val="none"/>
        </w:rPr>
        <w:t xml:space="preserve">.2-10 可再生能源区示意图 </w:t>
      </w:r>
    </w:p>
    <w:p>
      <w:pPr>
        <w:pStyle w:val="27"/>
        <w:ind w:firstLine="0" w:firstLineChars="0"/>
        <w:rPr>
          <w:b/>
          <w:bCs/>
          <w:highlight w:val="none"/>
        </w:rPr>
      </w:pPr>
      <w:r>
        <w:rPr>
          <w:rStyle w:val="82"/>
          <w:rFonts w:hint="eastAsia"/>
          <w:highlight w:val="none"/>
        </w:rPr>
        <w:t>数据存储中心</w:t>
      </w:r>
      <w:r>
        <w:rPr>
          <w:b/>
          <w:bCs/>
          <w:highlight w:val="none"/>
        </w:rPr>
        <w:t xml:space="preserve"> </w:t>
      </w:r>
    </w:p>
    <w:p>
      <w:pPr>
        <w:pStyle w:val="27"/>
        <w:ind w:firstLine="480"/>
        <w:rPr>
          <w:highlight w:val="none"/>
        </w:rPr>
      </w:pPr>
      <w:r>
        <w:rPr>
          <w:highlight w:val="none"/>
        </w:rPr>
        <w:t>双方场地中各有一处数据存储中心，数据存储中心由960mm八棱柱和220mm扁铝等结构件组成。双方机器人可以将</w:t>
      </w:r>
      <w:r>
        <w:rPr>
          <w:rFonts w:hint="eastAsia"/>
          <w:highlight w:val="none"/>
        </w:rPr>
        <w:t>字母</w:t>
      </w:r>
      <w:r>
        <w:rPr>
          <w:highlight w:val="none"/>
        </w:rPr>
        <w:t xml:space="preserve">方块插入扁铝突出部位。 扁铝突出部位横截面尺寸为：50mm*15mm，三横两竖排列。 </w:t>
      </w:r>
    </w:p>
    <w:p>
      <w:pPr>
        <w:pStyle w:val="27"/>
        <w:spacing w:line="240" w:lineRule="auto"/>
        <w:ind w:firstLine="480"/>
        <w:rPr>
          <w:highlight w:val="none"/>
        </w:rPr>
      </w:pPr>
      <w:r>
        <w:rPr>
          <w:rFonts w:hint="eastAsia"/>
          <w:highlight w:val="none"/>
        </w:rPr>
        <w:drawing>
          <wp:inline distT="0" distB="0" distL="114300" distR="114300">
            <wp:extent cx="5262245" cy="1915795"/>
            <wp:effectExtent l="0" t="0" r="20955" b="14605"/>
            <wp:docPr id="45" name="图片 45" descr="图4.2-11 数据存储中心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图4.2-11 数据存储中心已标注"/>
                    <pic:cNvPicPr>
                      <a:picLocks noChangeAspect="1"/>
                    </pic:cNvPicPr>
                  </pic:nvPicPr>
                  <pic:blipFill>
                    <a:blip r:embed="rId19"/>
                    <a:stretch>
                      <a:fillRect/>
                    </a:stretch>
                  </pic:blipFill>
                  <pic:spPr>
                    <a:xfrm>
                      <a:off x="0" y="0"/>
                      <a:ext cx="5262245" cy="1915795"/>
                    </a:xfrm>
                    <a:prstGeom prst="rect">
                      <a:avLst/>
                    </a:prstGeom>
                  </pic:spPr>
                </pic:pic>
              </a:graphicData>
            </a:graphic>
          </wp:inline>
        </w:drawing>
      </w:r>
    </w:p>
    <w:p>
      <w:pPr>
        <w:pStyle w:val="16"/>
        <w:jc w:val="center"/>
        <w:rPr>
          <w:rFonts w:cs="思源黑体 CN Regular"/>
          <w:highlight w:val="none"/>
        </w:rPr>
      </w:pPr>
      <w:r>
        <w:rPr>
          <w:rFonts w:hint="eastAsia" w:cs="思源黑体 CN Regular"/>
          <w:highlight w:val="none"/>
        </w:rPr>
        <w:t>图</w:t>
      </w:r>
      <w:r>
        <w:rPr>
          <w:rFonts w:hint="eastAsia" w:cs="思源黑体 CN Regular"/>
          <w:highlight w:val="none"/>
          <w:lang w:val="en-US" w:eastAsia="zh-CN"/>
        </w:rPr>
        <w:t>1</w:t>
      </w:r>
      <w:r>
        <w:rPr>
          <w:rFonts w:hint="eastAsia" w:cs="思源黑体 CN Regular"/>
          <w:highlight w:val="none"/>
        </w:rPr>
        <w:t xml:space="preserve">.2-11 数据存储中心 </w:t>
      </w:r>
    </w:p>
    <w:p>
      <w:pPr>
        <w:pStyle w:val="27"/>
        <w:ind w:firstLine="0" w:firstLineChars="0"/>
        <w:rPr>
          <w:rStyle w:val="82"/>
          <w:rFonts w:hint="eastAsia"/>
          <w:highlight w:val="none"/>
        </w:rPr>
      </w:pPr>
      <w:r>
        <w:rPr>
          <w:rStyle w:val="82"/>
          <w:rFonts w:hint="eastAsia"/>
          <w:highlight w:val="none"/>
        </w:rPr>
        <w:t xml:space="preserve">旗帜悬挂区 </w:t>
      </w:r>
    </w:p>
    <w:p>
      <w:pPr>
        <w:pStyle w:val="27"/>
        <w:ind w:firstLine="480"/>
        <w:rPr>
          <w:highlight w:val="none"/>
        </w:rPr>
      </w:pPr>
      <w:r>
        <w:rPr>
          <w:highlight w:val="none"/>
        </w:rPr>
        <w:t xml:space="preserve">双方场地各有两个对称的旗杆，旗杆距离地面的高度960mm, 其横向扁铝长度为160mm, 扁铝朝向场地内与边框呈45度，该扁铝用于悬挂队旗。 </w:t>
      </w:r>
    </w:p>
    <w:p>
      <w:pPr>
        <w:pStyle w:val="27"/>
        <w:spacing w:line="240" w:lineRule="auto"/>
        <w:ind w:firstLine="480"/>
        <w:rPr>
          <w:highlight w:val="none"/>
        </w:rPr>
      </w:pPr>
      <w:r>
        <w:rPr>
          <w:highlight w:val="none"/>
        </w:rPr>
        <mc:AlternateContent>
          <mc:Choice Requires="wps">
            <w:drawing>
              <wp:anchor distT="0" distB="0" distL="114300" distR="114300" simplePos="0" relativeHeight="251660288" behindDoc="0" locked="0" layoutInCell="1" allowOverlap="1">
                <wp:simplePos x="0" y="0"/>
                <wp:positionH relativeFrom="column">
                  <wp:posOffset>544830</wp:posOffset>
                </wp:positionH>
                <wp:positionV relativeFrom="paragraph">
                  <wp:posOffset>189865</wp:posOffset>
                </wp:positionV>
                <wp:extent cx="1259205" cy="154940"/>
                <wp:effectExtent l="0" t="0" r="0" b="0"/>
                <wp:wrapNone/>
                <wp:docPr id="1" name="矩形 1"/>
                <wp:cNvGraphicFramePr/>
                <a:graphic xmlns:a="http://schemas.openxmlformats.org/drawingml/2006/main">
                  <a:graphicData uri="http://schemas.microsoft.com/office/word/2010/wordprocessingShape">
                    <wps:wsp>
                      <wps:cNvSpPr/>
                      <wps:spPr>
                        <a:xfrm>
                          <a:off x="0" y="0"/>
                          <a:ext cx="1259059" cy="154744"/>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2.9pt;margin-top:14.95pt;height:12.2pt;width:99.15pt;z-index:251660288;v-text-anchor:middle;mso-width-relative:page;mso-height-relative:page;" fillcolor="#FFFFFF" filled="t" stroked="f" coordsize="21600,21600" o:gfxdata="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DgMq9gAAAAIAQAADwAAAAAAAAABACAAAAAiAAAAZHJzL2Rvd25yZXYueG1s&#10;UEsBAhQAFAAAAAgAh07iQMW2vltqAgAAywQAAA4AAAAAAAAAAQAgAAAAJwEAAGRycy9lMm9Eb2Mu&#10;eG1sUEsFBgAAAAAGAAYAWQEAAAMGAAAAAA==&#10;">
                <v:fill on="t" focussize="0,0"/>
                <v:stroke on="f" weight="1pt" miterlimit="8" joinstyle="miter"/>
                <v:imagedata o:title=""/>
                <o:lock v:ext="edit" aspectratio="f"/>
              </v:rect>
            </w:pict>
          </mc:Fallback>
        </mc:AlternateContent>
      </w:r>
      <w:r>
        <w:rPr>
          <w:highlight w:val="none"/>
        </w:rPr>
        <w:drawing>
          <wp:inline distT="0" distB="0" distL="114300" distR="114300">
            <wp:extent cx="5272405" cy="4254500"/>
            <wp:effectExtent l="0" t="0" r="0" b="12700"/>
            <wp:docPr id="46" name="图片 46" descr="图4.2-12 旗帜悬挂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4.2-12 旗帜悬挂区示意图已标注"/>
                    <pic:cNvPicPr>
                      <a:picLocks noChangeAspect="1"/>
                    </pic:cNvPicPr>
                  </pic:nvPicPr>
                  <pic:blipFill>
                    <a:blip r:embed="rId20"/>
                    <a:stretch>
                      <a:fillRect/>
                    </a:stretch>
                  </pic:blipFill>
                  <pic:spPr>
                    <a:xfrm>
                      <a:off x="0" y="0"/>
                      <a:ext cx="5272405" cy="4254500"/>
                    </a:xfrm>
                    <a:prstGeom prst="rect">
                      <a:avLst/>
                    </a:prstGeom>
                  </pic:spPr>
                </pic:pic>
              </a:graphicData>
            </a:graphic>
          </wp:inline>
        </w:drawing>
      </w:r>
    </w:p>
    <w:p>
      <w:pPr>
        <w:pStyle w:val="16"/>
        <w:jc w:val="center"/>
        <w:rPr>
          <w:rFonts w:ascii="思源黑体 Regular" w:hAnsi="思源黑体 Regular" w:eastAsia="思源黑体 Regular" w:cs="思源黑体 Regular"/>
          <w:kern w:val="0"/>
          <w:sz w:val="24"/>
          <w:szCs w:val="24"/>
          <w:highlight w:val="none"/>
          <w:lang w:bidi="ar"/>
        </w:rPr>
      </w:pPr>
      <w:r>
        <w:rPr>
          <w:highlight w:val="none"/>
        </w:rPr>
        <w:t>图</w:t>
      </w:r>
      <w:r>
        <w:rPr>
          <w:rFonts w:hint="eastAsia"/>
          <w:highlight w:val="none"/>
          <w:lang w:val="en-US" w:eastAsia="zh-CN"/>
        </w:rPr>
        <w:t>1</w:t>
      </w:r>
      <w:r>
        <w:rPr>
          <w:highlight w:val="none"/>
        </w:rPr>
        <w:t>.2-12 旗帜悬挂区示意图</w:t>
      </w:r>
    </w:p>
    <w:p>
      <w:pPr>
        <w:pStyle w:val="86"/>
        <w:rPr>
          <w:highlight w:val="none"/>
        </w:rPr>
      </w:pPr>
      <w:bookmarkStart w:id="9" w:name="_Toc675280988_WPSOffice_Level2"/>
      <w:bookmarkStart w:id="10" w:name="_Toc6188"/>
      <w:bookmarkStart w:id="11" w:name="_Toc738533815"/>
      <w:r>
        <w:rPr>
          <w:rFonts w:hint="eastAsia"/>
          <w:highlight w:val="none"/>
        </w:rPr>
        <w:t>道具清单</w:t>
      </w:r>
      <w:bookmarkEnd w:id="9"/>
      <w:bookmarkEnd w:id="10"/>
      <w:bookmarkEnd w:id="11"/>
    </w:p>
    <w:p>
      <w:pPr>
        <w:pStyle w:val="27"/>
        <w:ind w:firstLine="480"/>
        <w:rPr>
          <w:highlight w:val="none"/>
        </w:rPr>
      </w:pPr>
      <w:r>
        <w:rPr>
          <w:rFonts w:hint="eastAsia"/>
          <w:highlight w:val="none"/>
        </w:rPr>
        <w:t>比赛开始前场地道具初始摆放位置如图4.3-1中所示：</w:t>
      </w:r>
    </w:p>
    <w:p>
      <w:pPr>
        <w:pStyle w:val="27"/>
        <w:spacing w:line="240" w:lineRule="auto"/>
        <w:ind w:firstLine="480"/>
        <w:rPr>
          <w:highlight w:val="none"/>
        </w:rPr>
      </w:pPr>
      <w:r>
        <w:rPr>
          <w:rFonts w:hint="eastAsia"/>
          <w:highlight w:val="none"/>
        </w:rPr>
        <w:drawing>
          <wp:inline distT="0" distB="0" distL="114300" distR="114300">
            <wp:extent cx="5024755" cy="2433955"/>
            <wp:effectExtent l="0" t="0" r="4445" b="4445"/>
            <wp:docPr id="17" name="图片 17" descr="图4.3-1 场地道具初始摆放位置图已标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4.3-1 场地道具初始摆放位置图已标注1"/>
                    <pic:cNvPicPr>
                      <a:picLocks noChangeAspect="1"/>
                    </pic:cNvPicPr>
                  </pic:nvPicPr>
                  <pic:blipFill>
                    <a:blip r:embed="rId21"/>
                    <a:stretch>
                      <a:fillRect/>
                    </a:stretch>
                  </pic:blipFill>
                  <pic:spPr>
                    <a:xfrm>
                      <a:off x="0" y="0"/>
                      <a:ext cx="5024755" cy="2433955"/>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.3-1 场地道具初始摆放位置图</w:t>
      </w:r>
    </w:p>
    <w:p>
      <w:pPr>
        <w:pStyle w:val="27"/>
        <w:ind w:firstLine="0" w:firstLineChars="0"/>
        <w:rPr>
          <w:rStyle w:val="82"/>
          <w:rFonts w:hint="eastAsia"/>
          <w:highlight w:val="none"/>
        </w:rPr>
      </w:pPr>
      <w:r>
        <w:rPr>
          <w:rStyle w:val="82"/>
          <w:rFonts w:hint="eastAsia"/>
          <w:highlight w:val="none"/>
        </w:rPr>
        <w:t xml:space="preserve">能源启动球 </w:t>
      </w:r>
    </w:p>
    <w:p>
      <w:pPr>
        <w:pStyle w:val="27"/>
        <w:ind w:firstLine="480"/>
        <w:rPr>
          <w:highlight w:val="none"/>
        </w:rPr>
      </w:pPr>
      <w:r>
        <w:rPr>
          <w:rFonts w:hint="eastAsia"/>
          <w:highlight w:val="none"/>
        </w:rPr>
        <w:t>能源启动球为双方场地上能源里利用站内放置的黄色球，材质：EVA，能源启动球尺寸</w:t>
      </w:r>
      <w:r>
        <w:rPr>
          <w:highlight w:val="none"/>
        </w:rPr>
        <w:t>：</w:t>
      </w:r>
      <w:r>
        <w:rPr>
          <w:rFonts w:hint="eastAsia"/>
          <w:highlight w:val="none"/>
        </w:rPr>
        <w:t>70mm。比赛开始前每个能源利用站固定放置16个，全场共64个。可通过机器人发射击打对方球瓶，完成启动可再生能源瓶任务。</w:t>
      </w:r>
    </w:p>
    <w:p>
      <w:pPr>
        <w:pStyle w:val="27"/>
        <w:spacing w:line="240" w:lineRule="auto"/>
        <w:ind w:firstLine="480"/>
        <w:jc w:val="center"/>
        <w:rPr>
          <w:highlight w:val="none"/>
        </w:rPr>
      </w:pPr>
      <w:r>
        <w:rPr>
          <w:rFonts w:hint="eastAsia"/>
          <w:highlight w:val="none"/>
        </w:rPr>
        <w:drawing>
          <wp:inline distT="0" distB="0" distL="114300" distR="114300">
            <wp:extent cx="3694430" cy="1523365"/>
            <wp:effectExtent l="0" t="0" r="13970" b="635"/>
            <wp:docPr id="18" name="图片 18" descr="资源 1@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资源 1@4x"/>
                    <pic:cNvPicPr>
                      <a:picLocks noChangeAspect="1"/>
                    </pic:cNvPicPr>
                  </pic:nvPicPr>
                  <pic:blipFill>
                    <a:blip r:embed="rId22"/>
                    <a:stretch>
                      <a:fillRect/>
                    </a:stretch>
                  </pic:blipFill>
                  <pic:spPr>
                    <a:xfrm>
                      <a:off x="0" y="0"/>
                      <a:ext cx="3694430" cy="1523365"/>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.3-2 能源启动球示意图</w:t>
      </w:r>
    </w:p>
    <w:p>
      <w:pPr>
        <w:pStyle w:val="27"/>
        <w:ind w:firstLine="0" w:firstLineChars="0"/>
        <w:rPr>
          <w:rStyle w:val="82"/>
          <w:rFonts w:hint="eastAsia"/>
          <w:highlight w:val="none"/>
        </w:rPr>
      </w:pPr>
      <w:r>
        <w:rPr>
          <w:rStyle w:val="82"/>
          <w:rFonts w:hint="eastAsia"/>
          <w:highlight w:val="none"/>
        </w:rPr>
        <w:t xml:space="preserve">可再生能源瓶 </w:t>
      </w:r>
    </w:p>
    <w:p>
      <w:pPr>
        <w:pStyle w:val="27"/>
        <w:ind w:firstLine="480"/>
        <w:rPr>
          <w:highlight w:val="none"/>
        </w:rPr>
      </w:pPr>
      <w:r>
        <w:rPr>
          <w:rFonts w:hint="eastAsia"/>
          <w:highlight w:val="none"/>
        </w:rPr>
        <w:t>可再生能源瓶为双方场地可再生能源区中摆放的红/蓝球瓶，材质：EVA，可再生能源球瓶尺寸：高 290mm，底部直径 70mm，最大直径 100mm（注：此道具均允许±10mm 的公差），每方半场各有12个，全场共24个。可使用能源启动球将可再生能源球瓶启动。</w:t>
      </w:r>
    </w:p>
    <w:p>
      <w:pPr>
        <w:pStyle w:val="27"/>
        <w:spacing w:line="240" w:lineRule="auto"/>
        <w:ind w:firstLine="480"/>
        <w:jc w:val="center"/>
        <w:rPr>
          <w:highlight w:val="none"/>
        </w:rPr>
      </w:pPr>
      <w:r>
        <w:rPr>
          <w:rFonts w:hint="eastAsia"/>
          <w:highlight w:val="none"/>
        </w:rPr>
        <w:drawing>
          <wp:inline distT="0" distB="0" distL="114300" distR="114300">
            <wp:extent cx="3401060" cy="2120265"/>
            <wp:effectExtent l="0" t="0" r="0" b="13970"/>
            <wp:docPr id="19" name="图片 19" descr="图4.3-3 可再生能源瓶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4.3-3 可再生能源瓶示意图"/>
                    <pic:cNvPicPr>
                      <a:picLocks noChangeAspect="1"/>
                    </pic:cNvPicPr>
                  </pic:nvPicPr>
                  <pic:blipFill>
                    <a:blip r:embed="rId23"/>
                    <a:stretch>
                      <a:fillRect/>
                    </a:stretch>
                  </pic:blipFill>
                  <pic:spPr>
                    <a:xfrm>
                      <a:off x="0" y="0"/>
                      <a:ext cx="3401060" cy="2120265"/>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.3-3 可再生能源瓶示意图</w:t>
      </w:r>
    </w:p>
    <w:p>
      <w:pPr>
        <w:pStyle w:val="27"/>
        <w:ind w:firstLine="0" w:firstLineChars="0"/>
        <w:rPr>
          <w:rStyle w:val="82"/>
          <w:rFonts w:hint="eastAsia"/>
          <w:highlight w:val="none"/>
        </w:rPr>
      </w:pPr>
      <w:r>
        <w:rPr>
          <w:rStyle w:val="82"/>
          <w:rFonts w:hint="eastAsia"/>
          <w:highlight w:val="none"/>
        </w:rPr>
        <w:t xml:space="preserve">数据块 </w:t>
      </w:r>
    </w:p>
    <w:p>
      <w:pPr>
        <w:pStyle w:val="27"/>
        <w:ind w:firstLine="480"/>
        <w:rPr>
          <w:highlight w:val="none"/>
        </w:rPr>
      </w:pPr>
      <w:r>
        <w:rPr>
          <w:rFonts w:hint="eastAsia"/>
          <w:highlight w:val="none"/>
        </w:rPr>
        <w:t>数据块为比赛场地中央数据收集站中摆放的字母方块，材质：EVA，数据块尺寸：边长为120mm正方形方块，其中一面有十字孔，（如图4.3-4）共9个，其中标有「M」「A」「K」「E」的方块各有1个，标有「X」的方块有5个，此道具为参赛双方的共有比赛道具，字母</w:t>
      </w:r>
      <w:r>
        <w:rPr>
          <w:highlight w:val="none"/>
        </w:rPr>
        <w:t>方块</w:t>
      </w:r>
      <w:r>
        <w:rPr>
          <w:rFonts w:hint="eastAsia"/>
          <w:highlight w:val="none"/>
        </w:rPr>
        <w:t xml:space="preserve">允许被用于完成争夺数据块、计算数据块、存储数据块等任务。（注：此道具均允许±5mm 的公差） </w:t>
      </w:r>
    </w:p>
    <w:p>
      <w:pPr>
        <w:pStyle w:val="27"/>
        <w:spacing w:line="240" w:lineRule="auto"/>
        <w:ind w:firstLine="480"/>
        <w:jc w:val="center"/>
        <w:rPr>
          <w:highlight w:val="none"/>
        </w:rPr>
      </w:pPr>
      <w:r>
        <w:rPr>
          <w:rFonts w:hint="eastAsia"/>
          <w:highlight w:val="none"/>
        </w:rPr>
        <w:drawing>
          <wp:inline distT="0" distB="0" distL="114300" distR="114300">
            <wp:extent cx="3742690" cy="3439160"/>
            <wp:effectExtent l="0" t="0" r="16510" b="15240"/>
            <wp:docPr id="20" name="图片 20" descr="图4.3-4数据块示意图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4.3-4数据块示意图CN"/>
                    <pic:cNvPicPr>
                      <a:picLocks noChangeAspect="1"/>
                    </pic:cNvPicPr>
                  </pic:nvPicPr>
                  <pic:blipFill>
                    <a:blip r:embed="rId24"/>
                    <a:stretch>
                      <a:fillRect/>
                    </a:stretch>
                  </pic:blipFill>
                  <pic:spPr>
                    <a:xfrm>
                      <a:off x="0" y="0"/>
                      <a:ext cx="3742690" cy="3439160"/>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.3-4 数据块示意图</w:t>
      </w:r>
    </w:p>
    <w:p>
      <w:pPr>
        <w:pStyle w:val="27"/>
        <w:ind w:firstLine="480"/>
        <w:rPr>
          <w:highlight w:val="none"/>
        </w:rPr>
      </w:pPr>
      <w:r>
        <w:rPr>
          <w:rFonts w:hint="eastAsia"/>
          <w:highlight w:val="none"/>
        </w:rPr>
        <w:t>·（注：所有场地及道具具有一定的合理公差，如开赛前参赛联盟队长对道具尺寸等方面存在异议可申请更换，当值裁判将根据实际情况决定是否替换。）</w:t>
      </w:r>
      <w:bookmarkStart w:id="12" w:name="_Toc21124"/>
      <w:bookmarkStart w:id="13" w:name="_Toc82349045"/>
    </w:p>
    <w:p>
      <w:pPr>
        <w:pStyle w:val="27"/>
        <w:ind w:firstLine="480"/>
        <w:rPr>
          <w:highlight w:val="none"/>
        </w:rPr>
      </w:pPr>
    </w:p>
    <w:p>
      <w:pPr>
        <w:pStyle w:val="86"/>
        <w:rPr>
          <w:highlight w:val="none"/>
        </w:rPr>
      </w:pPr>
      <w:bookmarkStart w:id="14" w:name="_Toc2143974568_WPSOffice_Level2"/>
      <w:r>
        <w:rPr>
          <w:rFonts w:hint="eastAsia"/>
          <w:highlight w:val="none"/>
        </w:rPr>
        <w:t>任务介绍及得分判定</w:t>
      </w:r>
      <w:bookmarkEnd w:id="12"/>
      <w:bookmarkEnd w:id="13"/>
      <w:bookmarkEnd w:id="14"/>
    </w:p>
    <w:p>
      <w:pPr>
        <w:pStyle w:val="27"/>
        <w:ind w:firstLine="480"/>
        <w:rPr>
          <w:highlight w:val="none"/>
        </w:rPr>
      </w:pPr>
      <w:r>
        <w:rPr>
          <w:rFonts w:hint="eastAsia"/>
          <w:highlight w:val="none"/>
        </w:rPr>
        <w:t>比赛分为自动控制阶段、 手动控制阶段 、强化改装阶段、全力一搏阶段四个阶段。每个阶段可执行的任务列表如下：</w:t>
      </w:r>
    </w:p>
    <w:tbl>
      <w:tblPr>
        <w:tblStyle w:val="18"/>
        <w:tblpPr w:leftFromText="180" w:rightFromText="180" w:vertAnchor="text" w:horzAnchor="page" w:tblpX="1799" w:tblpY="397"/>
        <w:tblOverlap w:val="never"/>
        <w:tblW w:w="85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6"/>
        <w:gridCol w:w="4428"/>
        <w:gridCol w:w="13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6" w:type="dxa"/>
          </w:tcPr>
          <w:p>
            <w:pPr>
              <w:widowControl/>
              <w:jc w:val="center"/>
              <w:rPr>
                <w:rFonts w:cs="思源黑体 CN"/>
                <w:b/>
                <w:bCs/>
                <w:szCs w:val="20"/>
                <w:highlight w:val="none"/>
              </w:rPr>
            </w:pPr>
            <w:bookmarkStart w:id="15" w:name="_Hlk90389262"/>
            <w:r>
              <w:rPr>
                <w:rFonts w:hint="eastAsia" w:cs="思源黑体 CN"/>
                <w:b/>
                <w:bCs/>
                <w:kern w:val="0"/>
                <w:szCs w:val="20"/>
                <w:highlight w:val="none"/>
                <w:lang w:bidi="ar"/>
              </w:rPr>
              <w:t xml:space="preserve">比赛阶段 </w:t>
            </w:r>
          </w:p>
        </w:tc>
        <w:tc>
          <w:tcPr>
            <w:tcW w:w="4428" w:type="dxa"/>
          </w:tcPr>
          <w:p>
            <w:pPr>
              <w:widowControl/>
              <w:jc w:val="center"/>
              <w:rPr>
                <w:rFonts w:cs="思源黑体 CN"/>
                <w:b/>
                <w:bCs/>
                <w:szCs w:val="20"/>
                <w:highlight w:val="none"/>
              </w:rPr>
            </w:pPr>
            <w:r>
              <w:rPr>
                <w:rFonts w:hint="eastAsia" w:cs="思源黑体 CN"/>
                <w:b/>
                <w:bCs/>
                <w:kern w:val="0"/>
                <w:szCs w:val="20"/>
                <w:highlight w:val="none"/>
                <w:lang w:bidi="ar"/>
              </w:rPr>
              <w:t xml:space="preserve">可执行任务 </w:t>
            </w:r>
          </w:p>
        </w:tc>
        <w:tc>
          <w:tcPr>
            <w:tcW w:w="1306" w:type="dxa"/>
          </w:tcPr>
          <w:p>
            <w:pPr>
              <w:widowControl/>
              <w:jc w:val="center"/>
              <w:rPr>
                <w:rFonts w:cs="思源黑体 CN"/>
                <w:b/>
                <w:bCs/>
                <w:szCs w:val="20"/>
                <w:highlight w:val="none"/>
              </w:rPr>
            </w:pPr>
            <w:r>
              <w:rPr>
                <w:rFonts w:hint="eastAsia" w:cs="思源黑体 CN"/>
                <w:b/>
                <w:bCs/>
                <w:kern w:val="0"/>
                <w:szCs w:val="20"/>
                <w:highlight w:val="none"/>
                <w:lang w:bidi="ar"/>
              </w:rPr>
              <w:t xml:space="preserve">可活动区域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6" w:type="dxa"/>
          </w:tcPr>
          <w:p>
            <w:pPr>
              <w:widowControl/>
              <w:jc w:val="left"/>
              <w:rPr>
                <w:rFonts w:cs="思源黑体 CN"/>
                <w:b/>
                <w:bCs/>
                <w:szCs w:val="20"/>
                <w:highlight w:val="none"/>
              </w:rPr>
            </w:pPr>
            <w:r>
              <w:rPr>
                <w:rFonts w:hint="eastAsia" w:cs="思源黑体 CN"/>
                <w:b/>
                <w:bCs/>
                <w:kern w:val="0"/>
                <w:szCs w:val="20"/>
                <w:highlight w:val="none"/>
                <w:lang w:bidi="ar"/>
              </w:rPr>
              <w:t xml:space="preserve">自动控制阶段 （30秒） </w:t>
            </w:r>
          </w:p>
        </w:tc>
        <w:tc>
          <w:tcPr>
            <w:tcW w:w="4428" w:type="dxa"/>
          </w:tcPr>
          <w:p>
            <w:pPr>
              <w:widowControl/>
              <w:jc w:val="left"/>
              <w:rPr>
                <w:rFonts w:cs="思源黑体 CN"/>
                <w:szCs w:val="20"/>
                <w:highlight w:val="none"/>
              </w:rPr>
            </w:pPr>
            <w:r>
              <w:rPr>
                <w:rFonts w:hint="eastAsia" w:cs="思源黑体 CN"/>
                <w:kern w:val="0"/>
                <w:szCs w:val="20"/>
                <w:highlight w:val="none"/>
                <w:lang w:bidi="ar"/>
              </w:rPr>
              <w:t xml:space="preserve">启动可再生能源瓶、争夺数据块 、计算数据块 、 存储数据块 </w:t>
            </w:r>
          </w:p>
        </w:tc>
        <w:tc>
          <w:tcPr>
            <w:tcW w:w="1306" w:type="dxa"/>
          </w:tcPr>
          <w:p>
            <w:pPr>
              <w:widowControl/>
              <w:jc w:val="center"/>
              <w:rPr>
                <w:rFonts w:cs="思源黑体 CN"/>
                <w:szCs w:val="20"/>
                <w:highlight w:val="none"/>
              </w:rPr>
            </w:pPr>
            <w:r>
              <w:rPr>
                <w:rFonts w:hint="eastAsia" w:cs="思源黑体 CN"/>
                <w:kern w:val="0"/>
                <w:szCs w:val="20"/>
                <w:highlight w:val="none"/>
                <w:lang w:bidi="ar"/>
              </w:rPr>
              <w:t xml:space="preserve">己方场地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6" w:type="dxa"/>
          </w:tcPr>
          <w:p>
            <w:pPr>
              <w:widowControl/>
              <w:jc w:val="left"/>
              <w:rPr>
                <w:rFonts w:cs="思源黑体 CN"/>
                <w:b/>
                <w:bCs/>
                <w:szCs w:val="20"/>
                <w:highlight w:val="none"/>
              </w:rPr>
            </w:pPr>
            <w:r>
              <w:rPr>
                <w:rFonts w:hint="eastAsia" w:cs="思源黑体 CN"/>
                <w:b/>
                <w:bCs/>
                <w:kern w:val="0"/>
                <w:szCs w:val="20"/>
                <w:highlight w:val="none"/>
                <w:lang w:bidi="ar"/>
              </w:rPr>
              <w:t xml:space="preserve">手动控制阶段 （100秒） </w:t>
            </w:r>
          </w:p>
        </w:tc>
        <w:tc>
          <w:tcPr>
            <w:tcW w:w="4428" w:type="dxa"/>
          </w:tcPr>
          <w:p>
            <w:pPr>
              <w:widowControl/>
              <w:jc w:val="left"/>
              <w:rPr>
                <w:rFonts w:cs="思源黑体 CN"/>
                <w:szCs w:val="20"/>
                <w:highlight w:val="none"/>
              </w:rPr>
            </w:pPr>
            <w:r>
              <w:rPr>
                <w:rFonts w:hint="eastAsia" w:cs="思源黑体 CN"/>
                <w:kern w:val="0"/>
                <w:szCs w:val="20"/>
                <w:highlight w:val="none"/>
                <w:lang w:bidi="ar"/>
              </w:rPr>
              <w:t xml:space="preserve">在自动控制阶段可执行任务中新增回收可再生能源瓶任务 </w:t>
            </w:r>
          </w:p>
        </w:tc>
        <w:tc>
          <w:tcPr>
            <w:tcW w:w="1306" w:type="dxa"/>
          </w:tcPr>
          <w:p>
            <w:pPr>
              <w:widowControl/>
              <w:jc w:val="center"/>
              <w:rPr>
                <w:rFonts w:cs="思源黑体 CN"/>
                <w:szCs w:val="20"/>
                <w:highlight w:val="none"/>
              </w:rPr>
            </w:pPr>
            <w:r>
              <w:rPr>
                <w:rFonts w:hint="eastAsia" w:cs="思源黑体 CN"/>
                <w:kern w:val="0"/>
                <w:szCs w:val="20"/>
                <w:highlight w:val="none"/>
                <w:lang w:bidi="ar"/>
              </w:rPr>
              <w:t xml:space="preserve">己方场地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6" w:type="dxa"/>
          </w:tcPr>
          <w:p>
            <w:pPr>
              <w:widowControl/>
              <w:jc w:val="left"/>
              <w:rPr>
                <w:rFonts w:cs="思源黑体 CN"/>
                <w:b/>
                <w:bCs/>
                <w:szCs w:val="20"/>
                <w:highlight w:val="none"/>
              </w:rPr>
            </w:pPr>
            <w:r>
              <w:rPr>
                <w:rFonts w:hint="eastAsia" w:cs="思源黑体 CN"/>
                <w:b/>
                <w:bCs/>
                <w:kern w:val="0"/>
                <w:szCs w:val="20"/>
                <w:highlight w:val="none"/>
                <w:lang w:bidi="ar"/>
              </w:rPr>
              <w:t>强化改装阶段 （</w:t>
            </w:r>
            <w:r>
              <w:rPr>
                <w:rFonts w:cs="思源黑体 CN"/>
                <w:b/>
                <w:bCs/>
                <w:kern w:val="0"/>
                <w:szCs w:val="20"/>
                <w:highlight w:val="none"/>
                <w:lang w:bidi="ar"/>
              </w:rPr>
              <w:t>60</w:t>
            </w:r>
            <w:r>
              <w:rPr>
                <w:rFonts w:hint="eastAsia" w:cs="思源黑体 CN"/>
                <w:b/>
                <w:bCs/>
                <w:kern w:val="0"/>
                <w:szCs w:val="20"/>
                <w:highlight w:val="none"/>
                <w:lang w:bidi="ar"/>
              </w:rPr>
              <w:t xml:space="preserve">秒） </w:t>
            </w:r>
          </w:p>
        </w:tc>
        <w:tc>
          <w:tcPr>
            <w:tcW w:w="4428" w:type="dxa"/>
          </w:tcPr>
          <w:p>
            <w:pPr>
              <w:widowControl/>
              <w:jc w:val="left"/>
              <w:rPr>
                <w:rFonts w:cs="思源黑体 CN"/>
                <w:szCs w:val="20"/>
                <w:highlight w:val="none"/>
              </w:rPr>
            </w:pPr>
            <w:r>
              <w:rPr>
                <w:rFonts w:hint="eastAsia" w:cs="思源黑体 CN"/>
                <w:kern w:val="0"/>
                <w:szCs w:val="20"/>
                <w:highlight w:val="none"/>
                <w:lang w:bidi="ar"/>
              </w:rPr>
              <w:t xml:space="preserve">改装己方机器人 </w:t>
            </w:r>
          </w:p>
        </w:tc>
        <w:tc>
          <w:tcPr>
            <w:tcW w:w="1306" w:type="dxa"/>
          </w:tcPr>
          <w:p>
            <w:pPr>
              <w:widowControl/>
              <w:jc w:val="center"/>
              <w:rPr>
                <w:rFonts w:cs="思源黑体 CN"/>
                <w:szCs w:val="20"/>
                <w:highlight w:val="none"/>
              </w:rPr>
            </w:pPr>
            <w:r>
              <w:rPr>
                <w:rFonts w:hint="eastAsia" w:cs="思源黑体 CN"/>
                <w:kern w:val="0"/>
                <w:szCs w:val="20"/>
                <w:highlight w:val="none"/>
                <w:lang w:bidi="ar"/>
              </w:rPr>
              <w:t xml:space="preserve">场外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6" w:type="dxa"/>
          </w:tcPr>
          <w:p>
            <w:pPr>
              <w:widowControl/>
              <w:jc w:val="left"/>
              <w:rPr>
                <w:rFonts w:cs="思源黑体 CN"/>
                <w:b/>
                <w:bCs/>
                <w:szCs w:val="20"/>
                <w:highlight w:val="none"/>
              </w:rPr>
            </w:pPr>
            <w:r>
              <w:rPr>
                <w:rFonts w:hint="eastAsia" w:cs="思源黑体 CN"/>
                <w:b/>
                <w:bCs/>
                <w:kern w:val="0"/>
                <w:szCs w:val="20"/>
                <w:highlight w:val="none"/>
                <w:lang w:bidi="ar"/>
              </w:rPr>
              <w:t xml:space="preserve">全力一搏阶段 （90秒） </w:t>
            </w:r>
          </w:p>
        </w:tc>
        <w:tc>
          <w:tcPr>
            <w:tcW w:w="4428" w:type="dxa"/>
          </w:tcPr>
          <w:p>
            <w:pPr>
              <w:widowControl/>
              <w:jc w:val="left"/>
              <w:rPr>
                <w:rFonts w:cs="思源黑体 CN"/>
                <w:szCs w:val="20"/>
                <w:highlight w:val="none"/>
              </w:rPr>
            </w:pPr>
            <w:r>
              <w:rPr>
                <w:rFonts w:hint="eastAsia" w:cs="思源黑体 CN"/>
                <w:kern w:val="0"/>
                <w:szCs w:val="20"/>
                <w:highlight w:val="none"/>
                <w:lang w:bidi="ar"/>
              </w:rPr>
              <w:t xml:space="preserve">在手动控制阶段可执行任务中新增悬挂队旗任务 </w:t>
            </w:r>
          </w:p>
        </w:tc>
        <w:tc>
          <w:tcPr>
            <w:tcW w:w="1306" w:type="dxa"/>
          </w:tcPr>
          <w:p>
            <w:pPr>
              <w:widowControl/>
              <w:jc w:val="center"/>
              <w:rPr>
                <w:rFonts w:cs="思源黑体 CN"/>
                <w:szCs w:val="20"/>
                <w:highlight w:val="none"/>
              </w:rPr>
            </w:pPr>
            <w:r>
              <w:rPr>
                <w:rFonts w:hint="eastAsia" w:cs="思源黑体 CN"/>
                <w:kern w:val="0"/>
                <w:szCs w:val="20"/>
                <w:highlight w:val="none"/>
                <w:lang w:bidi="ar"/>
              </w:rPr>
              <w:t xml:space="preserve">己方场地 </w:t>
            </w:r>
          </w:p>
        </w:tc>
      </w:tr>
      <w:bookmarkEnd w:id="15"/>
    </w:tbl>
    <w:p>
      <w:pPr>
        <w:pStyle w:val="27"/>
        <w:ind w:firstLine="480"/>
        <w:rPr>
          <w:highlight w:val="none"/>
        </w:rPr>
      </w:pPr>
    </w:p>
    <w:p>
      <w:pPr>
        <w:pStyle w:val="27"/>
        <w:ind w:firstLine="480"/>
        <w:rPr>
          <w:highlight w:val="none"/>
        </w:rPr>
      </w:pPr>
    </w:p>
    <w:p>
      <w:pPr>
        <w:rPr>
          <w:rStyle w:val="82"/>
          <w:rFonts w:hint="eastAsia"/>
          <w:highlight w:val="none"/>
        </w:rPr>
      </w:pPr>
      <w:r>
        <w:rPr>
          <w:rStyle w:val="82"/>
          <w:rFonts w:hint="eastAsia"/>
          <w:highlight w:val="none"/>
        </w:rPr>
        <w:br w:type="page"/>
      </w:r>
    </w:p>
    <w:p>
      <w:pPr>
        <w:pStyle w:val="27"/>
        <w:ind w:firstLine="0" w:firstLineChars="0"/>
        <w:rPr>
          <w:rStyle w:val="82"/>
          <w:rFonts w:hint="eastAsia"/>
          <w:highlight w:val="none"/>
        </w:rPr>
      </w:pPr>
      <w:r>
        <w:rPr>
          <w:rStyle w:val="82"/>
          <w:rFonts w:hint="eastAsia"/>
          <w:highlight w:val="none"/>
        </w:rPr>
        <w:t xml:space="preserve">启动可再生能源瓶 </w:t>
      </w:r>
    </w:p>
    <w:p>
      <w:pPr>
        <w:pStyle w:val="27"/>
        <w:ind w:firstLine="482"/>
        <w:rPr>
          <w:highlight w:val="none"/>
        </w:rPr>
      </w:pPr>
      <w:r>
        <w:rPr>
          <w:rFonts w:hint="eastAsia"/>
          <w:b/>
          <w:bCs/>
          <w:highlight w:val="none"/>
        </w:rPr>
        <w:t>可执行阶段：</w:t>
      </w:r>
      <w:r>
        <w:rPr>
          <w:rFonts w:hint="eastAsia"/>
          <w:highlight w:val="none"/>
        </w:rPr>
        <w:t xml:space="preserve">自动控制阶段、手动控制阶段、全力一搏阶段 </w:t>
      </w:r>
    </w:p>
    <w:p>
      <w:pPr>
        <w:pStyle w:val="27"/>
        <w:ind w:firstLine="482"/>
        <w:rPr>
          <w:highlight w:val="none"/>
        </w:rPr>
      </w:pPr>
      <w:r>
        <w:rPr>
          <w:rFonts w:hint="eastAsia"/>
          <w:b/>
          <w:bCs/>
          <w:highlight w:val="none"/>
        </w:rPr>
        <w:t>任务描述：</w:t>
      </w:r>
      <w:r>
        <w:rPr>
          <w:rFonts w:hint="eastAsia"/>
          <w:highlight w:val="none"/>
        </w:rPr>
        <w:t xml:space="preserve">双方机器人可以收集地面上的黄球并射击对方球瓶。 </w:t>
      </w:r>
    </w:p>
    <w:p>
      <w:pPr>
        <w:pStyle w:val="27"/>
        <w:ind w:firstLine="482"/>
        <w:rPr>
          <w:highlight w:val="none"/>
        </w:rPr>
      </w:pPr>
      <w:r>
        <w:rPr>
          <w:rFonts w:hint="eastAsia"/>
          <w:b/>
          <w:bCs/>
          <w:highlight w:val="none"/>
        </w:rPr>
        <w:t>得分判定：</w:t>
      </w:r>
      <w:r>
        <w:rPr>
          <w:rFonts w:hint="eastAsia"/>
          <w:highlight w:val="none"/>
        </w:rPr>
        <w:t xml:space="preserve"> </w:t>
      </w:r>
    </w:p>
    <w:p>
      <w:pPr>
        <w:pStyle w:val="27"/>
        <w:ind w:firstLine="1310" w:firstLineChars="0"/>
        <w:rPr>
          <w:highlight w:val="none"/>
        </w:rPr>
      </w:pPr>
      <w:r>
        <w:rPr>
          <w:rFonts w:hint="eastAsia"/>
          <w:highlight w:val="none"/>
        </w:rPr>
        <w:t xml:space="preserve">a. 上层球瓶处于直立状态，且瓶底与可再生能源上层区域完全接触 </w:t>
      </w:r>
    </w:p>
    <w:p>
      <w:pPr>
        <w:pStyle w:val="27"/>
        <w:ind w:firstLine="1310" w:firstLineChars="0"/>
        <w:rPr>
          <w:highlight w:val="none"/>
        </w:rPr>
      </w:pPr>
      <w:r>
        <w:rPr>
          <w:rFonts w:hint="eastAsia"/>
          <w:highlight w:val="none"/>
        </w:rPr>
        <w:t xml:space="preserve">b. 下层球瓶处于直立状态，且瓶底与可再生能源下层区域完全接触 </w:t>
      </w:r>
    </w:p>
    <w:p>
      <w:pPr>
        <w:pStyle w:val="27"/>
        <w:ind w:firstLine="1310" w:firstLineChars="0"/>
        <w:rPr>
          <w:highlight w:val="none"/>
        </w:rPr>
      </w:pPr>
      <w:r>
        <w:rPr>
          <w:rFonts w:hint="eastAsia"/>
          <w:highlight w:val="none"/>
        </w:rPr>
        <w:t xml:space="preserve">c. 球瓶不与机器人直接接触 </w:t>
      </w:r>
    </w:p>
    <w:p>
      <w:pPr>
        <w:pStyle w:val="27"/>
        <w:ind w:firstLine="482"/>
        <w:rPr>
          <w:highlight w:val="none"/>
        </w:rPr>
      </w:pPr>
      <w:r>
        <w:rPr>
          <w:rFonts w:hint="eastAsia"/>
          <w:b/>
          <w:bCs/>
          <w:highlight w:val="none"/>
        </w:rPr>
        <w:t>任务得分：</w:t>
      </w:r>
      <w:r>
        <w:rPr>
          <w:rFonts w:hint="eastAsia"/>
          <w:highlight w:val="none"/>
        </w:rPr>
        <w:t>全部符合以上条件则视为有效状态，每个有效状态球瓶25分。</w:t>
      </w:r>
    </w:p>
    <w:p>
      <w:pPr>
        <w:pStyle w:val="27"/>
        <w:ind w:firstLine="480"/>
        <w:rPr>
          <w:highlight w:val="none"/>
        </w:rPr>
      </w:pPr>
    </w:p>
    <w:p>
      <w:pPr>
        <w:pStyle w:val="27"/>
        <w:spacing w:line="240" w:lineRule="auto"/>
        <w:ind w:firstLine="480"/>
        <w:rPr>
          <w:highlight w:val="none"/>
        </w:rPr>
      </w:pPr>
      <w:r>
        <w:rPr>
          <w:rFonts w:hint="eastAsia"/>
          <w:highlight w:val="none"/>
        </w:rPr>
        <w:drawing>
          <wp:inline distT="0" distB="0" distL="114300" distR="114300">
            <wp:extent cx="5276215" cy="2043430"/>
            <wp:effectExtent l="0" t="0" r="6985" b="13970"/>
            <wp:docPr id="47" name="图片 47" descr=" 图 4.5-1 球瓶有效得分与无效得分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 图 4.5-1 球瓶有效得分与无效得分示意图"/>
                    <pic:cNvPicPr>
                      <a:picLocks noChangeAspect="1"/>
                    </pic:cNvPicPr>
                  </pic:nvPicPr>
                  <pic:blipFill>
                    <a:blip r:embed="rId25"/>
                    <a:stretch>
                      <a:fillRect/>
                    </a:stretch>
                  </pic:blipFill>
                  <pic:spPr>
                    <a:xfrm>
                      <a:off x="0" y="0"/>
                      <a:ext cx="5276215" cy="2043430"/>
                    </a:xfrm>
                    <a:prstGeom prst="rect">
                      <a:avLst/>
                    </a:prstGeom>
                  </pic:spPr>
                </pic:pic>
              </a:graphicData>
            </a:graphic>
          </wp:inline>
        </w:drawing>
      </w:r>
    </w:p>
    <w:p>
      <w:pPr>
        <w:pStyle w:val="16"/>
        <w:jc w:val="center"/>
        <w:rPr>
          <w:rStyle w:val="82"/>
          <w:rFonts w:eastAsia="思源黑体 CN Regular" w:cstheme="minorBidi"/>
          <w:b/>
          <w:color w:val="auto"/>
          <w:sz w:val="20"/>
          <w:szCs w:val="22"/>
          <w:highlight w:val="none"/>
        </w:rPr>
      </w:pPr>
      <w:r>
        <w:rPr>
          <w:highlight w:val="none"/>
        </w:rPr>
        <w:t xml:space="preserve">图 </w:t>
      </w:r>
      <w:r>
        <w:rPr>
          <w:rFonts w:hint="eastAsia"/>
          <w:highlight w:val="none"/>
          <w:lang w:val="en-US" w:eastAsia="zh-CN"/>
        </w:rPr>
        <w:t>1</w:t>
      </w:r>
      <w:r>
        <w:rPr>
          <w:highlight w:val="none"/>
        </w:rPr>
        <w:t>.</w:t>
      </w:r>
      <w:r>
        <w:rPr>
          <w:rFonts w:hint="eastAsia"/>
          <w:highlight w:val="none"/>
        </w:rPr>
        <w:t>4</w:t>
      </w:r>
      <w:r>
        <w:rPr>
          <w:highlight w:val="none"/>
        </w:rPr>
        <w:t>-1 球瓶有效得分与无效得分示意图</w:t>
      </w:r>
    </w:p>
    <w:p>
      <w:pPr>
        <w:pStyle w:val="27"/>
        <w:ind w:firstLine="0" w:firstLineChars="0"/>
        <w:rPr>
          <w:rStyle w:val="82"/>
          <w:rFonts w:hint="eastAsia"/>
          <w:highlight w:val="none"/>
        </w:rPr>
      </w:pPr>
      <w:r>
        <w:rPr>
          <w:rStyle w:val="82"/>
          <w:rFonts w:hint="eastAsia"/>
          <w:highlight w:val="none"/>
        </w:rPr>
        <w:t>回收可再生能源瓶</w:t>
      </w:r>
    </w:p>
    <w:p>
      <w:pPr>
        <w:pStyle w:val="27"/>
        <w:ind w:firstLine="482"/>
        <w:rPr>
          <w:highlight w:val="none"/>
        </w:rPr>
      </w:pPr>
      <w:r>
        <w:rPr>
          <w:rFonts w:hint="eastAsia"/>
          <w:b/>
          <w:bCs/>
          <w:highlight w:val="none"/>
        </w:rPr>
        <w:t>可执行阶段：</w:t>
      </w:r>
      <w:r>
        <w:rPr>
          <w:rFonts w:hint="eastAsia"/>
          <w:highlight w:val="none"/>
        </w:rPr>
        <w:t>手动控制阶段、全力一搏阶段</w:t>
      </w:r>
    </w:p>
    <w:p>
      <w:pPr>
        <w:pStyle w:val="27"/>
        <w:ind w:firstLine="482"/>
        <w:rPr>
          <w:highlight w:val="none"/>
        </w:rPr>
      </w:pPr>
      <w:r>
        <w:rPr>
          <w:rFonts w:hint="eastAsia"/>
          <w:b/>
          <w:bCs/>
          <w:highlight w:val="none"/>
        </w:rPr>
        <w:t>任务描述：</w:t>
      </w:r>
      <w:r>
        <w:rPr>
          <w:rFonts w:hint="eastAsia"/>
          <w:highlight w:val="none"/>
        </w:rPr>
        <w:t>双方机器人可以将球瓶摆放到己方场地的回收区。</w:t>
      </w:r>
    </w:p>
    <w:p>
      <w:pPr>
        <w:pStyle w:val="27"/>
        <w:ind w:firstLine="482"/>
        <w:rPr>
          <w:highlight w:val="none"/>
        </w:rPr>
      </w:pPr>
      <w:r>
        <w:rPr>
          <w:rFonts w:hint="eastAsia"/>
          <w:b/>
          <w:bCs/>
          <w:highlight w:val="none"/>
        </w:rPr>
        <w:t>得分判定：</w:t>
      </w:r>
      <w:r>
        <w:rPr>
          <w:rFonts w:hint="eastAsia"/>
          <w:highlight w:val="none"/>
        </w:rPr>
        <w:t>球瓶完全进入回收区域且球瓶不与机器人直接接触，则视为有效状态。</w:t>
      </w:r>
    </w:p>
    <w:p>
      <w:pPr>
        <w:pStyle w:val="27"/>
        <w:ind w:firstLine="482"/>
        <w:rPr>
          <w:highlight w:val="none"/>
        </w:rPr>
      </w:pPr>
      <w:r>
        <w:rPr>
          <w:rFonts w:hint="eastAsia"/>
          <w:b/>
          <w:bCs/>
          <w:highlight w:val="none"/>
        </w:rPr>
        <w:t>任务得分：</w:t>
      </w:r>
      <w:r>
        <w:rPr>
          <w:rFonts w:hint="eastAsia"/>
          <w:highlight w:val="none"/>
        </w:rPr>
        <w:t>每个有效状态球瓶20分。</w:t>
      </w:r>
    </w:p>
    <w:p>
      <w:pPr>
        <w:pStyle w:val="27"/>
        <w:spacing w:line="240" w:lineRule="auto"/>
        <w:ind w:firstLine="480"/>
        <w:jc w:val="center"/>
        <w:rPr>
          <w:highlight w:val="none"/>
        </w:rPr>
      </w:pPr>
      <w:r>
        <w:rPr>
          <w:rFonts w:hint="eastAsia"/>
          <w:highlight w:val="none"/>
        </w:rPr>
        <w:drawing>
          <wp:inline distT="0" distB="0" distL="114300" distR="114300">
            <wp:extent cx="3782060" cy="2517140"/>
            <wp:effectExtent l="0" t="0" r="2540" b="22860"/>
            <wp:docPr id="26" name="图片 26" descr="图4.2-8能源回收区示意图已标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4.2-8能源回收区示意图已标注"/>
                    <pic:cNvPicPr>
                      <a:picLocks noChangeAspect="1"/>
                    </pic:cNvPicPr>
                  </pic:nvPicPr>
                  <pic:blipFill>
                    <a:blip r:embed="rId26"/>
                    <a:stretch>
                      <a:fillRect/>
                    </a:stretch>
                  </pic:blipFill>
                  <pic:spPr>
                    <a:xfrm>
                      <a:off x="0" y="0"/>
                      <a:ext cx="3782060" cy="2517140"/>
                    </a:xfrm>
                    <a:prstGeom prst="rect">
                      <a:avLst/>
                    </a:prstGeom>
                  </pic:spPr>
                </pic:pic>
              </a:graphicData>
            </a:graphic>
          </wp:inline>
        </w:drawing>
      </w:r>
    </w:p>
    <w:p>
      <w:pPr>
        <w:pStyle w:val="27"/>
        <w:ind w:firstLine="480"/>
        <w:jc w:val="center"/>
        <w:rPr>
          <w:highlight w:val="none"/>
        </w:rPr>
      </w:pPr>
    </w:p>
    <w:p>
      <w:pPr>
        <w:pStyle w:val="16"/>
        <w:jc w:val="center"/>
        <w:rPr>
          <w:highlight w:val="none"/>
        </w:rPr>
      </w:pPr>
      <w:r>
        <w:rPr>
          <w:rFonts w:hint="eastAsia"/>
          <w:highlight w:val="none"/>
        </w:rPr>
        <w:t xml:space="preserve">图 </w:t>
      </w:r>
      <w:r>
        <w:rPr>
          <w:rFonts w:hint="eastAsia"/>
          <w:highlight w:val="none"/>
          <w:lang w:val="en-US" w:eastAsia="zh-CN"/>
        </w:rPr>
        <w:t>1</w:t>
      </w:r>
      <w:r>
        <w:rPr>
          <w:rFonts w:hint="eastAsia"/>
          <w:highlight w:val="none"/>
        </w:rPr>
        <w:t>.4-2 回收可再生能源瓶有效得分与无效得分示意图</w:t>
      </w:r>
    </w:p>
    <w:p>
      <w:pPr>
        <w:pStyle w:val="27"/>
        <w:ind w:firstLine="0" w:firstLineChars="0"/>
        <w:rPr>
          <w:rStyle w:val="82"/>
          <w:rFonts w:hint="eastAsia"/>
          <w:highlight w:val="none"/>
        </w:rPr>
      </w:pPr>
    </w:p>
    <w:p>
      <w:pPr>
        <w:pStyle w:val="27"/>
        <w:ind w:firstLine="0" w:firstLineChars="0"/>
        <w:rPr>
          <w:rStyle w:val="82"/>
          <w:rFonts w:hint="eastAsia"/>
          <w:highlight w:val="none"/>
        </w:rPr>
      </w:pPr>
      <w:r>
        <w:rPr>
          <w:rStyle w:val="82"/>
          <w:rFonts w:hint="eastAsia"/>
          <w:highlight w:val="none"/>
        </w:rPr>
        <w:t>存储数据块</w:t>
      </w:r>
    </w:p>
    <w:p>
      <w:pPr>
        <w:pStyle w:val="27"/>
        <w:ind w:firstLine="482"/>
        <w:rPr>
          <w:highlight w:val="none"/>
        </w:rPr>
      </w:pPr>
      <w:r>
        <w:rPr>
          <w:rFonts w:hint="eastAsia"/>
          <w:b/>
          <w:bCs/>
          <w:highlight w:val="none"/>
        </w:rPr>
        <w:t>可执行阶段：</w:t>
      </w:r>
      <w:r>
        <w:rPr>
          <w:rFonts w:hint="eastAsia"/>
          <w:highlight w:val="none"/>
        </w:rPr>
        <w:t>自动控制阶段、手动控制阶段、全力一搏阶段</w:t>
      </w:r>
    </w:p>
    <w:p>
      <w:pPr>
        <w:pStyle w:val="27"/>
        <w:ind w:firstLine="482"/>
        <w:rPr>
          <w:highlight w:val="none"/>
        </w:rPr>
      </w:pPr>
      <w:r>
        <w:rPr>
          <w:rFonts w:hint="eastAsia"/>
          <w:b/>
          <w:bCs/>
          <w:highlight w:val="none"/>
        </w:rPr>
        <w:t>任务描述：</w:t>
      </w:r>
      <w:r>
        <w:rPr>
          <w:rFonts w:hint="eastAsia"/>
          <w:highlight w:val="none"/>
        </w:rPr>
        <w:t>双方机器人可以将字母</w:t>
      </w:r>
      <w:r>
        <w:rPr>
          <w:highlight w:val="none"/>
        </w:rPr>
        <w:t>方块</w:t>
      </w:r>
      <w:r>
        <w:rPr>
          <w:rFonts w:hint="eastAsia"/>
          <w:highlight w:val="none"/>
        </w:rPr>
        <w:t>插入己方场地的存储中心。</w:t>
      </w:r>
    </w:p>
    <w:p>
      <w:pPr>
        <w:pStyle w:val="27"/>
        <w:ind w:firstLine="482"/>
        <w:rPr>
          <w:highlight w:val="none"/>
        </w:rPr>
      </w:pPr>
      <w:r>
        <w:rPr>
          <w:rFonts w:hint="eastAsia"/>
          <w:b/>
          <w:bCs/>
          <w:highlight w:val="none"/>
        </w:rPr>
        <w:t>得分判定：</w:t>
      </w:r>
      <w:r>
        <w:rPr>
          <w:rFonts w:hint="eastAsia"/>
          <w:highlight w:val="none"/>
        </w:rPr>
        <w:t>字母</w:t>
      </w:r>
      <w:r>
        <w:rPr>
          <w:highlight w:val="none"/>
        </w:rPr>
        <w:t>方块</w:t>
      </w:r>
      <w:r>
        <w:rPr>
          <w:rFonts w:hint="eastAsia"/>
          <w:highlight w:val="none"/>
        </w:rPr>
        <w:t>悬挂在数据存储中心扁铝上，处于悬空状态，并与机器人或任何其他场地元素不存在直接接触时（悬挂区结构件除外），则视为有效状态。</w:t>
      </w:r>
    </w:p>
    <w:p>
      <w:pPr>
        <w:pStyle w:val="27"/>
        <w:ind w:firstLine="482"/>
        <w:rPr>
          <w:highlight w:val="none"/>
        </w:rPr>
      </w:pPr>
      <w:r>
        <w:rPr>
          <w:rFonts w:hint="eastAsia"/>
          <w:b/>
          <w:bCs/>
          <w:highlight w:val="none"/>
        </w:rPr>
        <w:t>任务得分：</w:t>
      </w:r>
      <w:r>
        <w:rPr>
          <w:rFonts w:hint="eastAsia"/>
          <w:highlight w:val="none"/>
        </w:rPr>
        <w:t>每个有效状态字母</w:t>
      </w:r>
      <w:r>
        <w:rPr>
          <w:highlight w:val="none"/>
        </w:rPr>
        <w:t>方块</w:t>
      </w:r>
      <w:r>
        <w:rPr>
          <w:rFonts w:hint="eastAsia"/>
          <w:highlight w:val="none"/>
        </w:rPr>
        <w:t>30分。</w:t>
      </w:r>
    </w:p>
    <w:p>
      <w:pPr>
        <w:pStyle w:val="27"/>
        <w:spacing w:line="240" w:lineRule="auto"/>
        <w:ind w:firstLine="480"/>
        <w:jc w:val="center"/>
        <w:rPr>
          <w:highlight w:val="none"/>
        </w:rPr>
      </w:pPr>
      <w:r>
        <w:rPr>
          <w:rFonts w:hint="eastAsia"/>
          <w:highlight w:val="none"/>
        </w:rPr>
        <w:drawing>
          <wp:inline distT="0" distB="0" distL="114300" distR="114300">
            <wp:extent cx="568325" cy="1786255"/>
            <wp:effectExtent l="0" t="0" r="15875" b="17145"/>
            <wp:docPr id="48" name="图片 48" descr="图 4.4-3 存储数据块有效状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图 4.4-3 存储数据块有效状态"/>
                    <pic:cNvPicPr>
                      <a:picLocks noChangeAspect="1"/>
                    </pic:cNvPicPr>
                  </pic:nvPicPr>
                  <pic:blipFill>
                    <a:blip r:embed="rId27"/>
                    <a:stretch>
                      <a:fillRect/>
                    </a:stretch>
                  </pic:blipFill>
                  <pic:spPr>
                    <a:xfrm>
                      <a:off x="0" y="0"/>
                      <a:ext cx="568325" cy="1786255"/>
                    </a:xfrm>
                    <a:prstGeom prst="rect">
                      <a:avLst/>
                    </a:prstGeom>
                  </pic:spPr>
                </pic:pic>
              </a:graphicData>
            </a:graphic>
          </wp:inline>
        </w:drawing>
      </w:r>
    </w:p>
    <w:p>
      <w:pPr>
        <w:pStyle w:val="16"/>
        <w:jc w:val="center"/>
        <w:rPr>
          <w:highlight w:val="none"/>
        </w:rPr>
      </w:pPr>
      <w:r>
        <w:rPr>
          <w:rFonts w:hint="eastAsia"/>
          <w:highlight w:val="none"/>
        </w:rPr>
        <w:t xml:space="preserve">图 </w:t>
      </w:r>
      <w:r>
        <w:rPr>
          <w:rFonts w:hint="eastAsia"/>
          <w:highlight w:val="none"/>
          <w:lang w:val="en-US" w:eastAsia="zh-CN"/>
        </w:rPr>
        <w:t>1</w:t>
      </w:r>
      <w:r>
        <w:rPr>
          <w:rFonts w:hint="eastAsia"/>
          <w:highlight w:val="none"/>
        </w:rPr>
        <w:t>.4-3 存储数据块有效状态</w:t>
      </w:r>
    </w:p>
    <w:p>
      <w:pPr>
        <w:pStyle w:val="27"/>
        <w:ind w:firstLine="0" w:firstLineChars="0"/>
        <w:rPr>
          <w:rStyle w:val="82"/>
          <w:rFonts w:hint="eastAsia"/>
          <w:highlight w:val="none"/>
        </w:rPr>
      </w:pPr>
      <w:r>
        <w:rPr>
          <w:rStyle w:val="82"/>
          <w:rFonts w:hint="eastAsia"/>
          <w:highlight w:val="none"/>
        </w:rPr>
        <w:t>计算数据块</w:t>
      </w:r>
    </w:p>
    <w:p>
      <w:pPr>
        <w:pStyle w:val="27"/>
        <w:ind w:firstLine="482"/>
        <w:rPr>
          <w:highlight w:val="none"/>
        </w:rPr>
      </w:pPr>
      <w:r>
        <w:rPr>
          <w:rFonts w:hint="eastAsia"/>
          <w:b/>
          <w:bCs/>
          <w:highlight w:val="none"/>
        </w:rPr>
        <w:t>可执行阶段：</w:t>
      </w:r>
      <w:r>
        <w:rPr>
          <w:rFonts w:hint="eastAsia"/>
          <w:highlight w:val="none"/>
        </w:rPr>
        <w:t>自动控制阶段、手动控制阶段、全力一搏阶段</w:t>
      </w:r>
    </w:p>
    <w:p>
      <w:pPr>
        <w:pStyle w:val="27"/>
        <w:ind w:firstLine="482"/>
        <w:rPr>
          <w:highlight w:val="none"/>
        </w:rPr>
      </w:pPr>
      <w:r>
        <w:rPr>
          <w:rFonts w:hint="eastAsia"/>
          <w:b/>
          <w:bCs/>
          <w:highlight w:val="none"/>
        </w:rPr>
        <w:t>任务描述：</w:t>
      </w:r>
      <w:r>
        <w:rPr>
          <w:rFonts w:hint="eastAsia"/>
          <w:highlight w:val="none"/>
        </w:rPr>
        <w:t>双方机器人可以在己方场地的计算中心放置字母</w:t>
      </w:r>
      <w:r>
        <w:rPr>
          <w:highlight w:val="none"/>
        </w:rPr>
        <w:t>方块</w:t>
      </w:r>
      <w:r>
        <w:rPr>
          <w:rFonts w:hint="eastAsia"/>
          <w:highlight w:val="none"/>
        </w:rPr>
        <w:t>。</w:t>
      </w:r>
    </w:p>
    <w:p>
      <w:pPr>
        <w:pStyle w:val="27"/>
        <w:ind w:firstLine="482"/>
        <w:rPr>
          <w:highlight w:val="none"/>
        </w:rPr>
      </w:pPr>
      <w:r>
        <w:rPr>
          <w:rFonts w:hint="eastAsia"/>
          <w:b/>
          <w:bCs/>
          <w:highlight w:val="none"/>
        </w:rPr>
        <w:t>得分判定：</w:t>
      </w:r>
      <w:r>
        <w:rPr>
          <w:rFonts w:hint="eastAsia"/>
          <w:highlight w:val="none"/>
        </w:rPr>
        <w:t>字母</w:t>
      </w:r>
      <w:r>
        <w:rPr>
          <w:highlight w:val="none"/>
        </w:rPr>
        <w:t>方块</w:t>
      </w:r>
      <w:r>
        <w:rPr>
          <w:rFonts w:hint="eastAsia"/>
          <w:highlight w:val="none"/>
        </w:rPr>
        <w:t>完全（物体垂直投影）进入己方计算中心区域，且与机器人不存在直接接触，则视为有效状态。</w:t>
      </w:r>
    </w:p>
    <w:p>
      <w:pPr>
        <w:pStyle w:val="27"/>
        <w:ind w:firstLine="482"/>
        <w:rPr>
          <w:highlight w:val="none"/>
        </w:rPr>
      </w:pPr>
      <w:r>
        <w:rPr>
          <w:rFonts w:hint="eastAsia"/>
          <w:b/>
          <w:bCs/>
          <w:highlight w:val="none"/>
        </w:rPr>
        <w:t>任务得分：</w:t>
      </w:r>
      <w:r>
        <w:rPr>
          <w:rFonts w:hint="eastAsia"/>
          <w:highlight w:val="none"/>
        </w:rPr>
        <w:t>每个有效状态字母</w:t>
      </w:r>
      <w:r>
        <w:rPr>
          <w:highlight w:val="none"/>
        </w:rPr>
        <w:t>方块</w:t>
      </w:r>
      <w:r>
        <w:rPr>
          <w:rFonts w:hint="eastAsia"/>
          <w:highlight w:val="none"/>
        </w:rPr>
        <w:t>15分。</w:t>
      </w:r>
    </w:p>
    <w:p>
      <w:pPr>
        <w:pStyle w:val="27"/>
        <w:spacing w:line="240" w:lineRule="auto"/>
        <w:ind w:firstLine="480"/>
        <w:rPr>
          <w:highlight w:val="none"/>
        </w:rPr>
      </w:pPr>
      <w:r>
        <w:rPr>
          <w:highlight w:val="none"/>
        </w:rPr>
        <w:drawing>
          <wp:inline distT="0" distB="0" distL="114300" distR="114300">
            <wp:extent cx="5266055" cy="699770"/>
            <wp:effectExtent l="0" t="0" r="17145" b="11430"/>
            <wp:docPr id="15" name="图片 15" descr="f2717ee8-548a-4afb-bfaf-d681a1c164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2717ee8-548a-4afb-bfaf-d681a1c1644a"/>
                    <pic:cNvPicPr>
                      <a:picLocks noChangeAspect="1"/>
                    </pic:cNvPicPr>
                  </pic:nvPicPr>
                  <pic:blipFill>
                    <a:blip r:embed="rId28"/>
                    <a:stretch>
                      <a:fillRect/>
                    </a:stretch>
                  </pic:blipFill>
                  <pic:spPr>
                    <a:xfrm>
                      <a:off x="0" y="0"/>
                      <a:ext cx="5266055" cy="699770"/>
                    </a:xfrm>
                    <a:prstGeom prst="rect">
                      <a:avLst/>
                    </a:prstGeom>
                  </pic:spPr>
                </pic:pic>
              </a:graphicData>
            </a:graphic>
          </wp:inline>
        </w:drawing>
      </w:r>
    </w:p>
    <w:p>
      <w:pPr>
        <w:pStyle w:val="16"/>
        <w:jc w:val="center"/>
        <w:rPr>
          <w:highlight w:val="none"/>
        </w:rPr>
      </w:pPr>
      <w:r>
        <w:rPr>
          <w:rFonts w:hint="eastAsia"/>
          <w:highlight w:val="none"/>
        </w:rPr>
        <w:t xml:space="preserve">图 </w:t>
      </w:r>
      <w:r>
        <w:rPr>
          <w:rFonts w:hint="eastAsia"/>
          <w:highlight w:val="none"/>
          <w:lang w:val="en-US" w:eastAsia="zh-CN"/>
        </w:rPr>
        <w:t>1</w:t>
      </w:r>
      <w:r>
        <w:rPr>
          <w:rFonts w:hint="eastAsia"/>
          <w:highlight w:val="none"/>
        </w:rPr>
        <w:t>.4-4 计算中心数据块有效得分与无效得分示意图</w:t>
      </w:r>
    </w:p>
    <w:p>
      <w:pPr>
        <w:pStyle w:val="27"/>
        <w:ind w:firstLine="0" w:firstLineChars="0"/>
        <w:rPr>
          <w:rStyle w:val="82"/>
          <w:rFonts w:hint="eastAsia"/>
          <w:highlight w:val="none"/>
        </w:rPr>
      </w:pPr>
      <w:r>
        <w:rPr>
          <w:rStyle w:val="82"/>
          <w:rFonts w:hint="eastAsia"/>
          <w:highlight w:val="none"/>
        </w:rPr>
        <w:t>争夺数据块</w:t>
      </w:r>
    </w:p>
    <w:p>
      <w:pPr>
        <w:pStyle w:val="27"/>
        <w:ind w:firstLine="482"/>
        <w:rPr>
          <w:highlight w:val="none"/>
        </w:rPr>
      </w:pPr>
      <w:r>
        <w:rPr>
          <w:rFonts w:hint="eastAsia"/>
          <w:b/>
          <w:bCs/>
          <w:highlight w:val="none"/>
        </w:rPr>
        <w:t>可执行阶段：</w:t>
      </w:r>
      <w:r>
        <w:rPr>
          <w:rFonts w:hint="eastAsia"/>
          <w:highlight w:val="none"/>
        </w:rPr>
        <w:t>自动控制阶段、手动控制阶段、全力一搏阶段</w:t>
      </w:r>
    </w:p>
    <w:p>
      <w:pPr>
        <w:pStyle w:val="27"/>
        <w:ind w:firstLine="482"/>
        <w:rPr>
          <w:highlight w:val="none"/>
        </w:rPr>
      </w:pPr>
      <w:r>
        <w:rPr>
          <w:rFonts w:hint="eastAsia"/>
          <w:b/>
          <w:bCs/>
          <w:highlight w:val="none"/>
        </w:rPr>
        <w:t>任务描述：</w:t>
      </w:r>
      <w:r>
        <w:rPr>
          <w:rFonts w:hint="eastAsia"/>
          <w:highlight w:val="none"/>
        </w:rPr>
        <w:t>双方机器人可以抓取收集中心的字母</w:t>
      </w:r>
      <w:r>
        <w:rPr>
          <w:highlight w:val="none"/>
        </w:rPr>
        <w:t>方块</w:t>
      </w:r>
      <w:r>
        <w:rPr>
          <w:rFonts w:hint="eastAsia"/>
          <w:highlight w:val="none"/>
        </w:rPr>
        <w:t>，并将其分拣至己方场地。</w:t>
      </w:r>
    </w:p>
    <w:p>
      <w:pPr>
        <w:pStyle w:val="27"/>
        <w:ind w:firstLine="482"/>
        <w:rPr>
          <w:highlight w:val="none"/>
        </w:rPr>
      </w:pPr>
      <w:r>
        <w:rPr>
          <w:rFonts w:hint="eastAsia"/>
          <w:b/>
          <w:bCs/>
          <w:highlight w:val="none"/>
        </w:rPr>
        <w:t>得分判定：</w:t>
      </w:r>
      <w:r>
        <w:rPr>
          <w:rFonts w:hint="eastAsia"/>
          <w:highlight w:val="none"/>
        </w:rPr>
        <w:t>字母</w:t>
      </w:r>
      <w:r>
        <w:rPr>
          <w:highlight w:val="none"/>
        </w:rPr>
        <w:t>方块</w:t>
      </w:r>
      <w:r>
        <w:rPr>
          <w:rFonts w:hint="eastAsia"/>
          <w:highlight w:val="none"/>
        </w:rPr>
        <w:t>未满足存储数据块与计算字母</w:t>
      </w:r>
      <w:r>
        <w:rPr>
          <w:highlight w:val="none"/>
        </w:rPr>
        <w:t>方块</w:t>
      </w:r>
      <w:r>
        <w:rPr>
          <w:rFonts w:hint="eastAsia"/>
          <w:highlight w:val="none"/>
        </w:rPr>
        <w:t>两种状态判定条件，如图 4.5-5完全进入己方场地区域，且字母</w:t>
      </w:r>
      <w:r>
        <w:rPr>
          <w:highlight w:val="none"/>
        </w:rPr>
        <w:t>方块</w:t>
      </w:r>
      <w:r>
        <w:rPr>
          <w:rFonts w:hint="eastAsia"/>
          <w:highlight w:val="none"/>
        </w:rPr>
        <w:t xml:space="preserve">与机器人不存在直接接触，则视为有效得分状态。 </w:t>
      </w:r>
    </w:p>
    <w:p>
      <w:pPr>
        <w:pStyle w:val="27"/>
        <w:ind w:firstLine="482"/>
        <w:rPr>
          <w:highlight w:val="none"/>
        </w:rPr>
      </w:pPr>
      <w:r>
        <w:rPr>
          <w:rFonts w:hint="eastAsia"/>
          <w:b/>
          <w:bCs/>
          <w:highlight w:val="none"/>
        </w:rPr>
        <w:t>任务得分：</w:t>
      </w:r>
      <w:r>
        <w:rPr>
          <w:rFonts w:hint="eastAsia"/>
          <w:highlight w:val="none"/>
        </w:rPr>
        <w:t>每个有效状态字母</w:t>
      </w:r>
      <w:r>
        <w:rPr>
          <w:highlight w:val="none"/>
        </w:rPr>
        <w:t>方块</w:t>
      </w:r>
      <w:r>
        <w:rPr>
          <w:rFonts w:hint="eastAsia"/>
          <w:highlight w:val="none"/>
        </w:rPr>
        <w:t>5分。</w:t>
      </w:r>
    </w:p>
    <w:p>
      <w:pPr>
        <w:pStyle w:val="27"/>
        <w:spacing w:line="240" w:lineRule="auto"/>
        <w:ind w:firstLine="480"/>
        <w:rPr>
          <w:highlight w:val="none"/>
        </w:rPr>
      </w:pPr>
      <w:r>
        <w:rPr>
          <w:rFonts w:hint="eastAsia"/>
          <w:highlight w:val="none"/>
        </w:rPr>
        <w:drawing>
          <wp:inline distT="0" distB="0" distL="114300" distR="114300">
            <wp:extent cx="5266055" cy="3843020"/>
            <wp:effectExtent l="0" t="0" r="17145" b="17780"/>
            <wp:docPr id="29" name="图片 29" descr="图 4.4-5 除数据计算中心与数据存储中心的方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 4.4-5 除数据计算中心与数据存储中心的方块"/>
                    <pic:cNvPicPr>
                      <a:picLocks noChangeAspect="1"/>
                    </pic:cNvPicPr>
                  </pic:nvPicPr>
                  <pic:blipFill>
                    <a:blip r:embed="rId29"/>
                    <a:stretch>
                      <a:fillRect/>
                    </a:stretch>
                  </pic:blipFill>
                  <pic:spPr>
                    <a:xfrm>
                      <a:off x="0" y="0"/>
                      <a:ext cx="5266055" cy="3843020"/>
                    </a:xfrm>
                    <a:prstGeom prst="rect">
                      <a:avLst/>
                    </a:prstGeom>
                  </pic:spPr>
                </pic:pic>
              </a:graphicData>
            </a:graphic>
          </wp:inline>
        </w:drawing>
      </w:r>
    </w:p>
    <w:p>
      <w:pPr>
        <w:pStyle w:val="16"/>
        <w:jc w:val="center"/>
        <w:rPr>
          <w:highlight w:val="none"/>
        </w:rPr>
      </w:pPr>
      <w:r>
        <w:rPr>
          <w:rFonts w:hint="eastAsia"/>
          <w:highlight w:val="none"/>
        </w:rPr>
        <w:t xml:space="preserve">图 </w:t>
      </w:r>
      <w:r>
        <w:rPr>
          <w:rFonts w:hint="eastAsia"/>
          <w:highlight w:val="none"/>
          <w:lang w:val="en-US" w:eastAsia="zh-CN"/>
        </w:rPr>
        <w:t>1</w:t>
      </w:r>
      <w:r>
        <w:rPr>
          <w:rFonts w:hint="eastAsia"/>
          <w:highlight w:val="none"/>
        </w:rPr>
        <w:t>.4-5 除数据计算中心与数据存储中心的数据块</w:t>
      </w:r>
    </w:p>
    <w:p>
      <w:pPr>
        <w:pStyle w:val="27"/>
        <w:ind w:firstLine="0" w:firstLineChars="0"/>
        <w:rPr>
          <w:rStyle w:val="82"/>
          <w:rFonts w:hint="eastAsia"/>
          <w:highlight w:val="none"/>
        </w:rPr>
      </w:pPr>
      <w:r>
        <w:rPr>
          <w:rStyle w:val="82"/>
          <w:rFonts w:hint="eastAsia"/>
          <w:highlight w:val="none"/>
        </w:rPr>
        <w:t>悬挂队旗</w:t>
      </w:r>
    </w:p>
    <w:p>
      <w:pPr>
        <w:pStyle w:val="27"/>
        <w:ind w:firstLine="482"/>
        <w:rPr>
          <w:highlight w:val="none"/>
        </w:rPr>
      </w:pPr>
      <w:r>
        <w:rPr>
          <w:rFonts w:hint="eastAsia"/>
          <w:b/>
          <w:bCs/>
          <w:highlight w:val="none"/>
        </w:rPr>
        <w:t>可执行阶段：</w:t>
      </w:r>
      <w:r>
        <w:rPr>
          <w:rFonts w:hint="eastAsia"/>
          <w:highlight w:val="none"/>
        </w:rPr>
        <w:t>全力一搏阶段</w:t>
      </w:r>
    </w:p>
    <w:p>
      <w:pPr>
        <w:pStyle w:val="27"/>
        <w:ind w:firstLine="482"/>
        <w:rPr>
          <w:highlight w:val="none"/>
        </w:rPr>
      </w:pPr>
      <w:r>
        <w:rPr>
          <w:rFonts w:hint="eastAsia"/>
          <w:b/>
          <w:bCs/>
          <w:highlight w:val="none"/>
        </w:rPr>
        <w:t>任务描述：</w:t>
      </w:r>
      <w:r>
        <w:rPr>
          <w:rFonts w:hint="eastAsia"/>
          <w:highlight w:val="none"/>
        </w:rPr>
        <w:t>机器人可以将己方队旗悬挂至己方场地的旗帜悬挂区域的旗杆上，一支战队在单场比赛中仅可携带一面旗帜入场，每个旗杆有效得分旗帜仅计1面。</w:t>
      </w:r>
    </w:p>
    <w:p>
      <w:pPr>
        <w:pStyle w:val="27"/>
        <w:ind w:firstLine="482"/>
        <w:rPr>
          <w:highlight w:val="none"/>
        </w:rPr>
      </w:pPr>
      <w:r>
        <w:rPr>
          <w:rFonts w:hint="eastAsia"/>
          <w:b/>
          <w:bCs/>
          <w:highlight w:val="none"/>
        </w:rPr>
        <w:t>得分判定：</w:t>
      </w:r>
      <w:r>
        <w:rPr>
          <w:rFonts w:hint="eastAsia"/>
          <w:highlight w:val="none"/>
        </w:rPr>
        <w:t>比赛结束时悬挂于旗杆之上，且与地面、机器人无任何接触，视为有效悬挂。</w:t>
      </w:r>
    </w:p>
    <w:p>
      <w:pPr>
        <w:pStyle w:val="27"/>
        <w:ind w:firstLine="482"/>
        <w:rPr>
          <w:highlight w:val="none"/>
        </w:rPr>
      </w:pPr>
      <w:r>
        <w:rPr>
          <w:rFonts w:hint="eastAsia"/>
          <w:b/>
          <w:bCs/>
          <w:highlight w:val="none"/>
        </w:rPr>
        <w:t>任务得分：</w:t>
      </w:r>
      <w:r>
        <w:rPr>
          <w:rFonts w:hint="eastAsia"/>
          <w:highlight w:val="none"/>
        </w:rPr>
        <w:t>有效悬挂一面旗帜50分。</w:t>
      </w:r>
    </w:p>
    <w:p>
      <w:pPr>
        <w:pStyle w:val="27"/>
        <w:spacing w:line="240" w:lineRule="auto"/>
        <w:ind w:firstLine="480"/>
        <w:jc w:val="center"/>
        <w:rPr>
          <w:highlight w:val="none"/>
        </w:rPr>
      </w:pPr>
      <w:r>
        <w:rPr>
          <w:rFonts w:hint="eastAsia"/>
          <w:highlight w:val="none"/>
        </w:rPr>
        <w:drawing>
          <wp:inline distT="0" distB="0" distL="114300" distR="114300">
            <wp:extent cx="3171190" cy="2201545"/>
            <wp:effectExtent l="0" t="0" r="0" b="0"/>
            <wp:docPr id="30" name="图片 30" descr="图 4.5-6 旗帜有效得分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 4.5-6 旗帜有效得分示意图"/>
                    <pic:cNvPicPr>
                      <a:picLocks noChangeAspect="1"/>
                    </pic:cNvPicPr>
                  </pic:nvPicPr>
                  <pic:blipFill>
                    <a:blip r:embed="rId30"/>
                    <a:stretch>
                      <a:fillRect/>
                    </a:stretch>
                  </pic:blipFill>
                  <pic:spPr>
                    <a:xfrm>
                      <a:off x="0" y="0"/>
                      <a:ext cx="3171190" cy="2201545"/>
                    </a:xfrm>
                    <a:prstGeom prst="rect">
                      <a:avLst/>
                    </a:prstGeom>
                  </pic:spPr>
                </pic:pic>
              </a:graphicData>
            </a:graphic>
          </wp:inline>
        </w:drawing>
      </w:r>
    </w:p>
    <w:p>
      <w:pPr>
        <w:pStyle w:val="16"/>
        <w:jc w:val="center"/>
        <w:rPr>
          <w:highlight w:val="none"/>
        </w:rPr>
      </w:pPr>
      <w:r>
        <w:rPr>
          <w:rFonts w:hint="eastAsia"/>
          <w:highlight w:val="none"/>
        </w:rPr>
        <w:t xml:space="preserve">图 </w:t>
      </w:r>
      <w:r>
        <w:rPr>
          <w:rFonts w:hint="eastAsia"/>
          <w:highlight w:val="none"/>
          <w:lang w:val="en-US" w:eastAsia="zh-CN"/>
        </w:rPr>
        <w:t>1</w:t>
      </w:r>
      <w:r>
        <w:rPr>
          <w:rFonts w:hint="eastAsia"/>
          <w:highlight w:val="none"/>
        </w:rPr>
        <w:t>.4-6 旗帜有效得分示意图</w:t>
      </w:r>
    </w:p>
    <w:p>
      <w:pPr>
        <w:pStyle w:val="27"/>
        <w:ind w:firstLine="0" w:firstLineChars="0"/>
        <w:rPr>
          <w:rStyle w:val="82"/>
          <w:rFonts w:hint="eastAsia"/>
          <w:highlight w:val="none"/>
        </w:rPr>
      </w:pPr>
      <w:r>
        <w:rPr>
          <w:rStyle w:val="82"/>
          <w:rFonts w:hint="eastAsia"/>
          <w:highlight w:val="none"/>
        </w:rPr>
        <w:t>MakeX挑战</w:t>
      </w:r>
    </w:p>
    <w:p>
      <w:pPr>
        <w:pStyle w:val="27"/>
        <w:ind w:firstLine="482"/>
        <w:rPr>
          <w:highlight w:val="none"/>
        </w:rPr>
      </w:pPr>
      <w:r>
        <w:rPr>
          <w:rFonts w:hint="eastAsia"/>
          <w:b/>
          <w:bCs/>
          <w:highlight w:val="none"/>
        </w:rPr>
        <w:t>可执行阶段：</w:t>
      </w:r>
      <w:r>
        <w:rPr>
          <w:rFonts w:hint="eastAsia"/>
          <w:highlight w:val="none"/>
        </w:rPr>
        <w:t>自动控制阶段、手动控制阶段、全力一搏阶段</w:t>
      </w:r>
    </w:p>
    <w:p>
      <w:pPr>
        <w:pStyle w:val="27"/>
        <w:ind w:firstLine="482"/>
        <w:rPr>
          <w:highlight w:val="none"/>
        </w:rPr>
      </w:pPr>
      <w:r>
        <w:rPr>
          <w:rFonts w:hint="eastAsia"/>
          <w:b/>
          <w:bCs/>
          <w:highlight w:val="none"/>
        </w:rPr>
        <w:t>任务描述：</w:t>
      </w:r>
      <w:r>
        <w:rPr>
          <w:rFonts w:hint="eastAsia"/>
          <w:highlight w:val="none"/>
        </w:rPr>
        <w:t>能够在场地中集齐「M」「A」「K」「E」「X」五个字母。</w:t>
      </w:r>
    </w:p>
    <w:p>
      <w:pPr>
        <w:pStyle w:val="27"/>
        <w:ind w:firstLine="482"/>
        <w:rPr>
          <w:highlight w:val="none"/>
        </w:rPr>
      </w:pPr>
      <w:r>
        <w:rPr>
          <w:rFonts w:hint="eastAsia"/>
          <w:b/>
          <w:bCs/>
          <w:highlight w:val="none"/>
        </w:rPr>
        <w:t>得分判定：</w:t>
      </w:r>
      <w:r>
        <w:rPr>
          <w:rFonts w:hint="eastAsia"/>
          <w:highlight w:val="none"/>
        </w:rPr>
        <w:t>在己方半场中集齐「M」「A」「K」「E」「X」五个字母块，字母</w:t>
      </w:r>
      <w:r>
        <w:rPr>
          <w:highlight w:val="none"/>
        </w:rPr>
        <w:t>方块</w:t>
      </w:r>
      <w:r>
        <w:rPr>
          <w:rFonts w:hint="eastAsia"/>
          <w:highlight w:val="none"/>
        </w:rPr>
        <w:t>处于己方任何一个任务区域，且与机器人不存在直接接触视为有效状态如图4.</w:t>
      </w:r>
      <w:r>
        <w:rPr>
          <w:highlight w:val="none"/>
        </w:rPr>
        <w:t>4-7</w:t>
      </w:r>
      <w:r>
        <w:rPr>
          <w:rFonts w:hint="eastAsia"/>
          <w:highlight w:val="none"/>
        </w:rPr>
        <w:t>示，即可完成MakeX挑战任务。</w:t>
      </w:r>
    </w:p>
    <w:p>
      <w:pPr>
        <w:pStyle w:val="27"/>
        <w:ind w:firstLine="482"/>
        <w:rPr>
          <w:highlight w:val="none"/>
        </w:rPr>
      </w:pPr>
      <w:r>
        <w:rPr>
          <w:rFonts w:hint="eastAsia"/>
          <w:b/>
          <w:bCs/>
          <w:highlight w:val="none"/>
        </w:rPr>
        <w:t>任务得分：</w:t>
      </w:r>
      <w:r>
        <w:rPr>
          <w:rFonts w:hint="eastAsia"/>
          <w:highlight w:val="none"/>
        </w:rPr>
        <w:t>完成挑战额外获得150分。</w:t>
      </w:r>
    </w:p>
    <w:p>
      <w:pPr>
        <w:pStyle w:val="27"/>
        <w:spacing w:line="240" w:lineRule="auto"/>
        <w:ind w:firstLine="480"/>
        <w:rPr>
          <w:highlight w:val="none"/>
        </w:rPr>
      </w:pPr>
      <w:r>
        <w:rPr>
          <w:rFonts w:hint="eastAsia"/>
          <w:highlight w:val="none"/>
        </w:rPr>
        <w:drawing>
          <wp:inline distT="0" distB="0" distL="114300" distR="114300">
            <wp:extent cx="4201160" cy="3075305"/>
            <wp:effectExtent l="0" t="0" r="15240" b="23495"/>
            <wp:docPr id="50" name="图片 50" descr="图4.4-7MakeX 挑战任务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4.4-7MakeX 挑战任务示意图"/>
                    <pic:cNvPicPr>
                      <a:picLocks noChangeAspect="1"/>
                    </pic:cNvPicPr>
                  </pic:nvPicPr>
                  <pic:blipFill>
                    <a:blip r:embed="rId31"/>
                    <a:stretch>
                      <a:fillRect/>
                    </a:stretch>
                  </pic:blipFill>
                  <pic:spPr>
                    <a:xfrm>
                      <a:off x="0" y="0"/>
                      <a:ext cx="4201160" cy="3075305"/>
                    </a:xfrm>
                    <a:prstGeom prst="rect">
                      <a:avLst/>
                    </a:prstGeom>
                  </pic:spPr>
                </pic:pic>
              </a:graphicData>
            </a:graphic>
          </wp:inline>
        </w:drawing>
      </w:r>
    </w:p>
    <w:p>
      <w:pPr>
        <w:pStyle w:val="16"/>
        <w:jc w:val="center"/>
        <w:rPr>
          <w:highlight w:val="none"/>
        </w:rPr>
      </w:pPr>
      <w:r>
        <w:rPr>
          <w:rFonts w:hint="eastAsia"/>
          <w:highlight w:val="none"/>
        </w:rPr>
        <w:t>图</w:t>
      </w:r>
      <w:r>
        <w:rPr>
          <w:rFonts w:hint="eastAsia"/>
          <w:highlight w:val="none"/>
          <w:lang w:val="en-US" w:eastAsia="zh-CN"/>
        </w:rPr>
        <w:t>1</w:t>
      </w:r>
      <w:r>
        <w:rPr>
          <w:rFonts w:hint="eastAsia"/>
          <w:highlight w:val="none"/>
        </w:rPr>
        <w:t>.4-7MakeX 挑战任务示意图</w:t>
      </w:r>
    </w:p>
    <w:p>
      <w:pPr>
        <w:pStyle w:val="27"/>
        <w:ind w:firstLine="0" w:firstLineChars="0"/>
        <w:rPr>
          <w:rStyle w:val="82"/>
          <w:rFonts w:hint="eastAsia"/>
          <w:highlight w:val="none"/>
        </w:rPr>
      </w:pPr>
    </w:p>
    <w:p>
      <w:pPr>
        <w:pStyle w:val="27"/>
        <w:ind w:firstLine="0" w:firstLineChars="0"/>
        <w:rPr>
          <w:rStyle w:val="82"/>
          <w:rFonts w:hint="eastAsia"/>
          <w:highlight w:val="none"/>
        </w:rPr>
      </w:pPr>
      <w:r>
        <w:rPr>
          <w:rStyle w:val="82"/>
          <w:rFonts w:hint="eastAsia"/>
          <w:highlight w:val="none"/>
        </w:rPr>
        <w:t>边界状态判定</w:t>
      </w:r>
    </w:p>
    <w:p>
      <w:pPr>
        <w:pStyle w:val="35"/>
        <w:numPr>
          <w:ilvl w:val="0"/>
          <w:numId w:val="0"/>
        </w:numPr>
        <w:ind w:left="400" w:leftChars="200" w:firstLine="420"/>
        <w:rPr>
          <w:highlight w:val="none"/>
        </w:rPr>
      </w:pPr>
      <w:r>
        <w:rPr>
          <w:rFonts w:hint="eastAsia"/>
          <w:highlight w:val="none"/>
        </w:rPr>
        <w:t>在比赛全程中，当机器人或道具与指定区域边界的相对位置状态不清晰时，可参考以下状态判定：</w:t>
      </w:r>
    </w:p>
    <w:p>
      <w:pPr>
        <w:pStyle w:val="36"/>
        <w:rPr>
          <w:highlight w:val="none"/>
        </w:rPr>
      </w:pPr>
      <w:r>
        <w:rPr>
          <w:rFonts w:hint="eastAsia"/>
          <w:highlight w:val="none"/>
        </w:rPr>
        <w:drawing>
          <wp:inline distT="0" distB="0" distL="114300" distR="114300">
            <wp:extent cx="5272405" cy="2019300"/>
            <wp:effectExtent l="0" t="0" r="10795" b="12700"/>
            <wp:docPr id="6" name="图片 6" descr="边界状态判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边界状态判定"/>
                    <pic:cNvPicPr>
                      <a:picLocks noChangeAspect="1"/>
                    </pic:cNvPicPr>
                  </pic:nvPicPr>
                  <pic:blipFill>
                    <a:blip r:embed="rId32"/>
                    <a:stretch>
                      <a:fillRect/>
                    </a:stretch>
                  </pic:blipFill>
                  <pic:spPr>
                    <a:xfrm>
                      <a:off x="0" y="0"/>
                      <a:ext cx="5272405" cy="2019300"/>
                    </a:xfrm>
                    <a:prstGeom prst="rect">
                      <a:avLst/>
                    </a:prstGeom>
                  </pic:spPr>
                </pic:pic>
              </a:graphicData>
            </a:graphic>
          </wp:inline>
        </w:drawing>
      </w:r>
    </w:p>
    <w:p>
      <w:pPr>
        <w:pStyle w:val="48"/>
        <w:ind w:left="845"/>
        <w:rPr>
          <w:rFonts w:ascii="思源黑体 CN Bold" w:hAnsi="思源黑体 CN Bold" w:eastAsia="思源黑体 CN Bold" w:cs="思源黑体 CN Bold"/>
          <w:bCs w:val="0"/>
          <w:highlight w:val="none"/>
        </w:rPr>
      </w:pPr>
      <w:bookmarkStart w:id="16" w:name="_Toc1152451363_WPSOffice_Level2"/>
      <w:bookmarkStart w:id="17" w:name="_Toc1060930647"/>
      <w:bookmarkStart w:id="18" w:name="_Toc12162"/>
      <w:r>
        <w:rPr>
          <w:rFonts w:hint="eastAsia" w:ascii="思源黑体 CN Bold" w:hAnsi="思源黑体 CN Bold" w:eastAsia="思源黑体 CN Bold" w:cs="思源黑体 CN Bold"/>
          <w:bCs w:val="0"/>
          <w:highlight w:val="none"/>
        </w:rPr>
        <w:t>计分说明</w:t>
      </w:r>
      <w:bookmarkEnd w:id="16"/>
      <w:bookmarkEnd w:id="17"/>
      <w:bookmarkEnd w:id="18"/>
    </w:p>
    <w:p>
      <w:pPr>
        <w:pStyle w:val="27"/>
        <w:ind w:firstLine="480"/>
        <w:rPr>
          <w:highlight w:val="none"/>
        </w:rPr>
      </w:pPr>
      <w:r>
        <w:rPr>
          <w:highlight w:val="none"/>
        </w:rPr>
        <w:t>比赛最终得分以比赛结束后，得分道具的最终静止状态为准。比赛任务、得分道具及对应的分值如下所示。比赛结束后，裁判以</w:t>
      </w:r>
      <w:r>
        <w:rPr>
          <w:rFonts w:hint="eastAsia"/>
          <w:highlight w:val="none"/>
        </w:rPr>
        <w:t>得分</w:t>
      </w:r>
      <w:r>
        <w:rPr>
          <w:highlight w:val="none"/>
        </w:rPr>
        <w:t>道具最终状态计算双方各项任务得分之和，分数高的联盟将获得比赛胜利。</w:t>
      </w:r>
    </w:p>
    <w:p>
      <w:pPr>
        <w:pStyle w:val="27"/>
        <w:ind w:firstLine="480"/>
        <w:rPr>
          <w:highlight w:val="none"/>
        </w:rPr>
      </w:pPr>
    </w:p>
    <w:tbl>
      <w:tblPr>
        <w:tblStyle w:val="17"/>
        <w:tblpPr w:leftFromText="180" w:rightFromText="180" w:vertAnchor="text" w:horzAnchor="page" w:tblpX="1877" w:tblpY="14"/>
        <w:tblOverlap w:val="never"/>
        <w:tblW w:w="8318" w:type="dxa"/>
        <w:tblInd w:w="0" w:type="dxa"/>
        <w:tblLayout w:type="autofit"/>
        <w:tblCellMar>
          <w:top w:w="15" w:type="dxa"/>
          <w:left w:w="15" w:type="dxa"/>
          <w:bottom w:w="15" w:type="dxa"/>
          <w:right w:w="15" w:type="dxa"/>
        </w:tblCellMar>
      </w:tblPr>
      <w:tblGrid>
        <w:gridCol w:w="1647"/>
        <w:gridCol w:w="3802"/>
        <w:gridCol w:w="1431"/>
        <w:gridCol w:w="1438"/>
      </w:tblGrid>
      <w:tr>
        <w:tblPrEx>
          <w:tblCellMar>
            <w:top w:w="15" w:type="dxa"/>
            <w:left w:w="15" w:type="dxa"/>
            <w:bottom w:w="15" w:type="dxa"/>
            <w:right w:w="15" w:type="dxa"/>
          </w:tblCellMar>
        </w:tblPrEx>
        <w:trPr>
          <w:trHeight w:val="560" w:hRule="atLeast"/>
        </w:trPr>
        <w:tc>
          <w:tcPr>
            <w:tcW w:w="1647"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bookmarkStart w:id="19" w:name="_Hlk90389186"/>
            <w:r>
              <w:rPr>
                <w:rFonts w:hint="eastAsia" w:cs="思源黑体 CN"/>
                <w:color w:val="000000"/>
                <w:kern w:val="0"/>
                <w:szCs w:val="20"/>
                <w:highlight w:val="none"/>
                <w:lang w:bidi="ar"/>
              </w:rPr>
              <w:t xml:space="preserve">得分道具 </w:t>
            </w: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得分道具细项 </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单个道具分值 </w:t>
            </w:r>
          </w:p>
        </w:tc>
        <w:tc>
          <w:tcPr>
            <w:tcW w:w="1438"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最高分值 </w:t>
            </w:r>
          </w:p>
        </w:tc>
      </w:tr>
      <w:tr>
        <w:tblPrEx>
          <w:tblCellMar>
            <w:top w:w="15" w:type="dxa"/>
            <w:left w:w="15" w:type="dxa"/>
            <w:bottom w:w="15" w:type="dxa"/>
            <w:right w:w="15" w:type="dxa"/>
          </w:tblCellMar>
        </w:tblPrEx>
        <w:trPr>
          <w:trHeight w:val="560" w:hRule="atLeast"/>
        </w:trPr>
        <w:tc>
          <w:tcPr>
            <w:tcW w:w="1647" w:type="dxa"/>
            <w:vMerge w:val="restart"/>
            <w:tcBorders>
              <w:top w:val="single" w:color="DEE0E3" w:sz="12" w:space="0"/>
              <w:left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可再生能源瓶 </w:t>
            </w: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可再生能源区内有效球瓶</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25</w:t>
            </w:r>
          </w:p>
        </w:tc>
        <w:tc>
          <w:tcPr>
            <w:tcW w:w="1438" w:type="dxa"/>
            <w:vMerge w:val="restart"/>
            <w:tcBorders>
              <w:top w:val="single" w:color="DEE0E3" w:sz="12" w:space="0"/>
              <w:left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300</w:t>
            </w:r>
          </w:p>
        </w:tc>
      </w:tr>
      <w:tr>
        <w:tblPrEx>
          <w:tblCellMar>
            <w:top w:w="15" w:type="dxa"/>
            <w:left w:w="15" w:type="dxa"/>
            <w:bottom w:w="15" w:type="dxa"/>
            <w:right w:w="15" w:type="dxa"/>
          </w:tblCellMar>
        </w:tblPrEx>
        <w:trPr>
          <w:trHeight w:val="560" w:hRule="atLeast"/>
        </w:trPr>
        <w:tc>
          <w:tcPr>
            <w:tcW w:w="1647" w:type="dxa"/>
            <w:vMerge w:val="continue"/>
            <w:tcBorders>
              <w:left w:val="single" w:color="DEE0E3" w:sz="12" w:space="0"/>
              <w:bottom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能源回收区内有效球瓶</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20</w:t>
            </w:r>
          </w:p>
        </w:tc>
        <w:tc>
          <w:tcPr>
            <w:tcW w:w="1438" w:type="dxa"/>
            <w:vMerge w:val="continue"/>
            <w:tcBorders>
              <w:left w:val="single" w:color="DEE0E3" w:sz="12" w:space="0"/>
              <w:bottom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r>
      <w:tr>
        <w:tblPrEx>
          <w:tblCellMar>
            <w:top w:w="15" w:type="dxa"/>
            <w:left w:w="15" w:type="dxa"/>
            <w:bottom w:w="15" w:type="dxa"/>
            <w:right w:w="15" w:type="dxa"/>
          </w:tblCellMar>
        </w:tblPrEx>
        <w:trPr>
          <w:trHeight w:val="560" w:hRule="atLeast"/>
        </w:trPr>
        <w:tc>
          <w:tcPr>
            <w:tcW w:w="1647" w:type="dxa"/>
            <w:vMerge w:val="restart"/>
            <w:tcBorders>
              <w:top w:val="single" w:color="DEE0E3" w:sz="12" w:space="0"/>
              <w:left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数据块 </w:t>
            </w: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数据存储中心有效</w:t>
            </w:r>
            <w:r>
              <w:rPr>
                <w:rFonts w:hint="eastAsia"/>
                <w:highlight w:val="none"/>
              </w:rPr>
              <w:t>字母</w:t>
            </w:r>
            <w:r>
              <w:rPr>
                <w:rFonts w:hint="eastAsia" w:cs="思源黑体 CN"/>
                <w:color w:val="000000"/>
                <w:kern w:val="0"/>
                <w:szCs w:val="20"/>
                <w:highlight w:val="none"/>
                <w:lang w:bidi="ar"/>
              </w:rPr>
              <w:t>方块</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30</w:t>
            </w:r>
          </w:p>
        </w:tc>
        <w:tc>
          <w:tcPr>
            <w:tcW w:w="1438" w:type="dxa"/>
            <w:vMerge w:val="restart"/>
            <w:tcBorders>
              <w:top w:val="single" w:color="DEE0E3" w:sz="12" w:space="0"/>
              <w:left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360</w:t>
            </w:r>
          </w:p>
        </w:tc>
      </w:tr>
      <w:tr>
        <w:tblPrEx>
          <w:tblCellMar>
            <w:top w:w="15" w:type="dxa"/>
            <w:left w:w="15" w:type="dxa"/>
            <w:bottom w:w="15" w:type="dxa"/>
            <w:right w:w="15" w:type="dxa"/>
          </w:tblCellMar>
        </w:tblPrEx>
        <w:trPr>
          <w:trHeight w:val="560" w:hRule="atLeast"/>
        </w:trPr>
        <w:tc>
          <w:tcPr>
            <w:tcW w:w="1647" w:type="dxa"/>
            <w:vMerge w:val="continue"/>
            <w:tcBorders>
              <w:left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数据计算中心有效</w:t>
            </w:r>
            <w:r>
              <w:rPr>
                <w:rFonts w:hint="eastAsia"/>
                <w:highlight w:val="none"/>
              </w:rPr>
              <w:t>字母</w:t>
            </w:r>
            <w:r>
              <w:rPr>
                <w:rFonts w:hint="eastAsia" w:cs="思源黑体 CN"/>
                <w:color w:val="000000"/>
                <w:kern w:val="0"/>
                <w:szCs w:val="20"/>
                <w:highlight w:val="none"/>
                <w:lang w:bidi="ar"/>
              </w:rPr>
              <w:t>方块</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15</w:t>
            </w:r>
          </w:p>
        </w:tc>
        <w:tc>
          <w:tcPr>
            <w:tcW w:w="1438" w:type="dxa"/>
            <w:vMerge w:val="continue"/>
            <w:tcBorders>
              <w:left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r>
      <w:tr>
        <w:tblPrEx>
          <w:tblCellMar>
            <w:top w:w="15" w:type="dxa"/>
            <w:left w:w="15" w:type="dxa"/>
            <w:bottom w:w="15" w:type="dxa"/>
            <w:right w:w="15" w:type="dxa"/>
          </w:tblCellMar>
        </w:tblPrEx>
        <w:trPr>
          <w:trHeight w:val="818" w:hRule="atLeast"/>
        </w:trPr>
        <w:tc>
          <w:tcPr>
            <w:tcW w:w="1647" w:type="dxa"/>
            <w:vMerge w:val="continue"/>
            <w:tcBorders>
              <w:left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除数据存储中心与数据计算中心以外且在己方半场有效</w:t>
            </w:r>
            <w:r>
              <w:rPr>
                <w:rFonts w:hint="eastAsia"/>
                <w:highlight w:val="none"/>
              </w:rPr>
              <w:t>字母</w:t>
            </w:r>
            <w:r>
              <w:rPr>
                <w:rFonts w:hint="eastAsia" w:cs="思源黑体 CN"/>
                <w:color w:val="000000"/>
                <w:kern w:val="0"/>
                <w:szCs w:val="20"/>
                <w:highlight w:val="none"/>
                <w:lang w:bidi="ar"/>
              </w:rPr>
              <w:t>方块</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5</w:t>
            </w:r>
          </w:p>
        </w:tc>
        <w:tc>
          <w:tcPr>
            <w:tcW w:w="1438" w:type="dxa"/>
            <w:vMerge w:val="continue"/>
            <w:tcBorders>
              <w:left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r>
      <w:tr>
        <w:tblPrEx>
          <w:tblCellMar>
            <w:top w:w="15" w:type="dxa"/>
            <w:left w:w="15" w:type="dxa"/>
            <w:bottom w:w="15" w:type="dxa"/>
            <w:right w:w="15" w:type="dxa"/>
          </w:tblCellMar>
        </w:tblPrEx>
        <w:trPr>
          <w:trHeight w:val="818" w:hRule="atLeast"/>
        </w:trPr>
        <w:tc>
          <w:tcPr>
            <w:tcW w:w="1647" w:type="dxa"/>
            <w:vMerge w:val="continue"/>
            <w:tcBorders>
              <w:left w:val="single" w:color="DEE0E3" w:sz="12" w:space="0"/>
              <w:bottom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在己方场地区域集齐「M」「A」「K」「E」「X」五个字母方块完成MakeX挑战</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额外150分</w:t>
            </w:r>
          </w:p>
        </w:tc>
        <w:tc>
          <w:tcPr>
            <w:tcW w:w="1438" w:type="dxa"/>
            <w:vMerge w:val="continue"/>
            <w:tcBorders>
              <w:left w:val="single" w:color="DEE0E3" w:sz="12" w:space="0"/>
              <w:bottom w:val="single" w:color="DEE0E3" w:sz="12" w:space="0"/>
              <w:right w:val="single" w:color="DEE0E3" w:sz="12" w:space="0"/>
            </w:tcBorders>
            <w:shd w:val="clear" w:color="auto" w:fill="auto"/>
            <w:vAlign w:val="center"/>
          </w:tcPr>
          <w:p>
            <w:pPr>
              <w:jc w:val="center"/>
              <w:rPr>
                <w:rFonts w:cs="思源黑体 CN"/>
                <w:color w:val="000000"/>
                <w:szCs w:val="20"/>
                <w:highlight w:val="none"/>
              </w:rPr>
            </w:pPr>
          </w:p>
        </w:tc>
      </w:tr>
      <w:tr>
        <w:tblPrEx>
          <w:tblCellMar>
            <w:top w:w="15" w:type="dxa"/>
            <w:left w:w="15" w:type="dxa"/>
            <w:bottom w:w="15" w:type="dxa"/>
            <w:right w:w="15" w:type="dxa"/>
          </w:tblCellMar>
        </w:tblPrEx>
        <w:trPr>
          <w:trHeight w:val="582" w:hRule="atLeast"/>
        </w:trPr>
        <w:tc>
          <w:tcPr>
            <w:tcW w:w="1647"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 xml:space="preserve">队旗 </w:t>
            </w:r>
          </w:p>
        </w:tc>
        <w:tc>
          <w:tcPr>
            <w:tcW w:w="3802"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left"/>
              <w:textAlignment w:val="center"/>
              <w:rPr>
                <w:rFonts w:cs="思源黑体 CN"/>
                <w:color w:val="000000"/>
                <w:szCs w:val="20"/>
                <w:highlight w:val="none"/>
              </w:rPr>
            </w:pPr>
            <w:r>
              <w:rPr>
                <w:rFonts w:hint="eastAsia" w:cs="思源黑体 CN"/>
                <w:color w:val="000000"/>
                <w:kern w:val="0"/>
                <w:szCs w:val="20"/>
                <w:highlight w:val="none"/>
                <w:lang w:bidi="ar"/>
              </w:rPr>
              <w:t>在旗帜悬挂区有效悬挂的旗帜</w:t>
            </w:r>
          </w:p>
        </w:tc>
        <w:tc>
          <w:tcPr>
            <w:tcW w:w="1431"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50</w:t>
            </w:r>
          </w:p>
        </w:tc>
        <w:tc>
          <w:tcPr>
            <w:tcW w:w="1438" w:type="dxa"/>
            <w:tcBorders>
              <w:top w:val="single" w:color="DEE0E3" w:sz="12" w:space="0"/>
              <w:left w:val="single" w:color="DEE0E3" w:sz="12" w:space="0"/>
              <w:bottom w:val="single" w:color="DEE0E3" w:sz="12" w:space="0"/>
              <w:right w:val="single" w:color="DEE0E3" w:sz="12" w:space="0"/>
            </w:tcBorders>
            <w:shd w:val="clear" w:color="auto" w:fill="auto"/>
            <w:vAlign w:val="center"/>
          </w:tcPr>
          <w:p>
            <w:pPr>
              <w:widowControl/>
              <w:jc w:val="center"/>
              <w:textAlignment w:val="center"/>
              <w:rPr>
                <w:rFonts w:cs="思源黑体 CN"/>
                <w:color w:val="000000"/>
                <w:szCs w:val="20"/>
                <w:highlight w:val="none"/>
              </w:rPr>
            </w:pPr>
            <w:r>
              <w:rPr>
                <w:rFonts w:hint="eastAsia" w:cs="思源黑体 CN"/>
                <w:color w:val="000000"/>
                <w:kern w:val="0"/>
                <w:szCs w:val="20"/>
                <w:highlight w:val="none"/>
                <w:lang w:bidi="ar"/>
              </w:rPr>
              <w:t>100</w:t>
            </w:r>
          </w:p>
        </w:tc>
      </w:tr>
      <w:bookmarkEnd w:id="19"/>
    </w:tbl>
    <w:p>
      <w:pPr>
        <w:pStyle w:val="27"/>
        <w:ind w:firstLine="0" w:firstLineChars="0"/>
        <w:rPr>
          <w:highlight w:val="none"/>
        </w:rPr>
      </w:pPr>
    </w:p>
    <w:p>
      <w:pPr>
        <w:pStyle w:val="86"/>
        <w:rPr>
          <w:rFonts w:hint="eastAsia"/>
          <w:highlight w:val="none"/>
        </w:rPr>
      </w:pPr>
      <w:bookmarkStart w:id="20" w:name="_Toc1095045648_WPSOffice_Level2"/>
      <w:r>
        <w:rPr>
          <w:rFonts w:hint="eastAsia"/>
          <w:highlight w:val="none"/>
        </w:rPr>
        <w:drawing>
          <wp:anchor distT="0" distB="0" distL="114300" distR="114300" simplePos="0" relativeHeight="251661312" behindDoc="0" locked="0" layoutInCell="1" allowOverlap="1">
            <wp:simplePos x="0" y="0"/>
            <wp:positionH relativeFrom="column">
              <wp:posOffset>5080</wp:posOffset>
            </wp:positionH>
            <wp:positionV relativeFrom="paragraph">
              <wp:posOffset>668655</wp:posOffset>
            </wp:positionV>
            <wp:extent cx="5985510" cy="572135"/>
            <wp:effectExtent l="0" t="0" r="0" b="0"/>
            <wp:wrapTopAndBottom/>
            <wp:docPr id="7" name="图片 7" descr="UML 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ML 图 (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5985510" cy="572135"/>
                    </a:xfrm>
                    <a:prstGeom prst="rect">
                      <a:avLst/>
                    </a:prstGeom>
                  </pic:spPr>
                </pic:pic>
              </a:graphicData>
            </a:graphic>
          </wp:anchor>
        </w:drawing>
      </w:r>
      <w:r>
        <w:rPr>
          <w:rFonts w:hint="eastAsia"/>
          <w:highlight w:val="none"/>
          <w:lang w:eastAsia="zh-Hans"/>
        </w:rPr>
        <w:t>单场比赛流程</w:t>
      </w:r>
      <w:bookmarkEnd w:id="20"/>
    </w:p>
    <w:p>
      <w:pPr>
        <w:pStyle w:val="71"/>
        <w:spacing w:before="156" w:beforeLines="50"/>
        <w:rPr>
          <w:highlight w:val="none"/>
        </w:rPr>
      </w:pPr>
      <w:r>
        <w:rPr>
          <w:rFonts w:hint="eastAsia"/>
          <w:highlight w:val="none"/>
        </w:rPr>
        <w:t xml:space="preserve">赛前准备 </w:t>
      </w:r>
    </w:p>
    <w:p>
      <w:pPr>
        <w:pStyle w:val="27"/>
        <w:ind w:firstLine="480"/>
        <w:rPr>
          <w:highlight w:val="none"/>
        </w:rPr>
      </w:pPr>
      <w:r>
        <w:rPr>
          <w:highlight w:val="none"/>
        </w:rPr>
        <w:t>单场比赛开始前，参赛队员应按照检录要求前往检录处检查机器人是否符合规定要求，检测电源管理模块是否正确</w:t>
      </w:r>
      <w:r>
        <w:rPr>
          <w:rFonts w:hint="eastAsia"/>
          <w:highlight w:val="none"/>
        </w:rPr>
        <w:t>安装</w:t>
      </w:r>
      <w:r>
        <w:rPr>
          <w:highlight w:val="none"/>
        </w:rPr>
        <w:t>并且能正常工作。待检测合格后，听从工作人员安排在候</w:t>
      </w:r>
      <w:r>
        <w:rPr>
          <w:rFonts w:hint="eastAsia"/>
          <w:highlight w:val="none"/>
        </w:rPr>
        <w:t>赛</w:t>
      </w:r>
      <w:r>
        <w:rPr>
          <w:highlight w:val="none"/>
        </w:rPr>
        <w:t xml:space="preserve">区等待进场比赛。 </w:t>
      </w:r>
    </w:p>
    <w:p>
      <w:pPr>
        <w:pStyle w:val="71"/>
        <w:spacing w:before="156" w:beforeLines="50"/>
        <w:rPr>
          <w:highlight w:val="none"/>
        </w:rPr>
      </w:pPr>
      <w:r>
        <w:rPr>
          <w:rFonts w:hint="eastAsia"/>
          <w:highlight w:val="none"/>
        </w:rPr>
        <w:t xml:space="preserve">开始比赛 </w:t>
      </w:r>
    </w:p>
    <w:p>
      <w:pPr>
        <w:pStyle w:val="27"/>
        <w:ind w:firstLine="480"/>
        <w:rPr>
          <w:highlight w:val="none"/>
        </w:rPr>
      </w:pPr>
      <w:r>
        <w:rPr>
          <w:highlight w:val="none"/>
        </w:rPr>
        <w:t xml:space="preserve">裁判发出比赛开始指令 ，选手不得再触碰机器人。 </w:t>
      </w:r>
    </w:p>
    <w:p>
      <w:pPr>
        <w:pStyle w:val="71"/>
        <w:spacing w:before="156" w:beforeLines="50"/>
        <w:rPr>
          <w:highlight w:val="none"/>
        </w:rPr>
      </w:pPr>
      <w:r>
        <w:rPr>
          <w:rFonts w:hint="eastAsia"/>
          <w:highlight w:val="none"/>
        </w:rPr>
        <w:t xml:space="preserve">自动控制阶段 </w:t>
      </w:r>
    </w:p>
    <w:p>
      <w:pPr>
        <w:pStyle w:val="27"/>
        <w:ind w:firstLine="480"/>
        <w:rPr>
          <w:highlight w:val="none"/>
        </w:rPr>
      </w:pPr>
      <w:r>
        <w:rPr>
          <w:highlight w:val="none"/>
        </w:rPr>
        <w:t xml:space="preserve">自动控制阶段时长30秒。 </w:t>
      </w:r>
    </w:p>
    <w:p>
      <w:pPr>
        <w:pStyle w:val="27"/>
        <w:ind w:firstLine="480"/>
        <w:rPr>
          <w:highlight w:val="none"/>
        </w:rPr>
      </w:pPr>
      <w:r>
        <w:rPr>
          <w:highlight w:val="none"/>
        </w:rPr>
        <w:t xml:space="preserve">为保证比赛的公平性，在比赛开始前的5秒倒计时阶段，位于启动区内的机器人会配合比赛系统统一断电，倒计时结束后，系统会统一给机器人通电，机器人运行预置自动程序。 </w:t>
      </w:r>
    </w:p>
    <w:p>
      <w:pPr>
        <w:pStyle w:val="71"/>
        <w:spacing w:before="156" w:beforeLines="50"/>
        <w:rPr>
          <w:highlight w:val="none"/>
        </w:rPr>
      </w:pPr>
      <w:r>
        <w:rPr>
          <w:rFonts w:hint="eastAsia"/>
          <w:highlight w:val="none"/>
        </w:rPr>
        <w:t xml:space="preserve">手动控制阶段 </w:t>
      </w:r>
    </w:p>
    <w:p>
      <w:pPr>
        <w:pStyle w:val="27"/>
        <w:ind w:firstLine="480"/>
        <w:rPr>
          <w:highlight w:val="none"/>
        </w:rPr>
      </w:pPr>
      <w:r>
        <w:rPr>
          <w:highlight w:val="none"/>
        </w:rPr>
        <w:t xml:space="preserve">手动控制阶段时长100秒。 </w:t>
      </w:r>
    </w:p>
    <w:p>
      <w:pPr>
        <w:pStyle w:val="27"/>
        <w:ind w:firstLine="480"/>
        <w:rPr>
          <w:highlight w:val="none"/>
        </w:rPr>
      </w:pPr>
      <w:r>
        <w:rPr>
          <w:highlight w:val="none"/>
        </w:rPr>
        <w:t xml:space="preserve">自动控制阶段结束后，比赛进入手动控制阶段的准备时间。在当值裁判宣布手动控制阶段开始且比赛系统 5 秒倒计时后，比赛系统对机器人进行统一通电。时长100秒的手动控制阶段正式开始，此阶段操作手可通过手柄对机器人进行手动操作。 </w:t>
      </w:r>
    </w:p>
    <w:p>
      <w:pPr>
        <w:pStyle w:val="27"/>
        <w:ind w:firstLine="480"/>
        <w:rPr>
          <w:highlight w:val="none"/>
        </w:rPr>
      </w:pPr>
      <w:r>
        <w:rPr>
          <w:highlight w:val="none"/>
        </w:rPr>
        <w:t xml:space="preserve">手动控制阶段即将结束时，比赛系统会倒计时 5 秒。手动控制阶段结束，比赛系统将自动切断机器人电源并直接进入强化改装阶段。 </w:t>
      </w:r>
    </w:p>
    <w:p>
      <w:pPr>
        <w:pStyle w:val="71"/>
        <w:spacing w:before="156" w:beforeLines="50"/>
        <w:rPr>
          <w:highlight w:val="none"/>
        </w:rPr>
      </w:pPr>
      <w:r>
        <w:rPr>
          <w:rFonts w:hint="eastAsia"/>
          <w:highlight w:val="none"/>
        </w:rPr>
        <w:t xml:space="preserve">强化改装阶段 </w:t>
      </w:r>
    </w:p>
    <w:p>
      <w:pPr>
        <w:pStyle w:val="27"/>
        <w:ind w:firstLine="480"/>
        <w:rPr>
          <w:highlight w:val="none"/>
        </w:rPr>
      </w:pPr>
      <w:r>
        <w:rPr>
          <w:highlight w:val="none"/>
        </w:rPr>
        <w:t xml:space="preserve">强化改装阶段时长60秒。 </w:t>
      </w:r>
    </w:p>
    <w:p>
      <w:pPr>
        <w:pStyle w:val="27"/>
        <w:ind w:firstLine="480"/>
        <w:rPr>
          <w:highlight w:val="none"/>
        </w:rPr>
      </w:pPr>
      <w:r>
        <w:rPr>
          <w:highlight w:val="none"/>
        </w:rPr>
        <w:t xml:space="preserve">当手动控制阶段结束后，强化改装阶段直接开始。选手可将回到启动区（部分或完全进入）的机器人移出场地进行强化改装，改装后的机器人长宽须符合尺寸规范，但高度不限（具体要求查看6.3改装规则）。 </w:t>
      </w:r>
    </w:p>
    <w:p>
      <w:pPr>
        <w:pStyle w:val="27"/>
        <w:ind w:firstLine="480"/>
        <w:rPr>
          <w:highlight w:val="none"/>
        </w:rPr>
      </w:pPr>
      <w:r>
        <w:rPr>
          <w:highlight w:val="none"/>
        </w:rPr>
        <w:t>强化改装阶段还剩 30 秒时，比赛系统会进行提示。当强化改装即将结束时， 会有 10 秒倒计时，倒计时结束前，选手</w:t>
      </w:r>
      <w:r>
        <w:rPr>
          <w:rFonts w:hint="eastAsia"/>
          <w:highlight w:val="none"/>
        </w:rPr>
        <w:t>需将</w:t>
      </w:r>
      <w:r>
        <w:rPr>
          <w:highlight w:val="none"/>
        </w:rPr>
        <w:t>机器人放回启动区。若超时</w:t>
      </w:r>
      <w:r>
        <w:rPr>
          <w:rFonts w:hint="eastAsia"/>
          <w:highlight w:val="none"/>
        </w:rPr>
        <w:t>参赛选手</w:t>
      </w:r>
      <w:r>
        <w:rPr>
          <w:highlight w:val="none"/>
        </w:rPr>
        <w:t>未将机器人放回启动区（部分或完全进入），</w:t>
      </w:r>
      <w:r>
        <w:rPr>
          <w:rFonts w:hint="eastAsia"/>
          <w:highlight w:val="none"/>
        </w:rPr>
        <w:t>则该战队机器人</w:t>
      </w:r>
      <w:r>
        <w:rPr>
          <w:highlight w:val="none"/>
        </w:rPr>
        <w:t xml:space="preserve">在全力一搏阶段将被禁用。 </w:t>
      </w:r>
    </w:p>
    <w:p>
      <w:pPr>
        <w:pStyle w:val="71"/>
        <w:spacing w:before="156" w:beforeLines="50"/>
        <w:rPr>
          <w:highlight w:val="none"/>
        </w:rPr>
      </w:pPr>
      <w:r>
        <w:rPr>
          <w:rFonts w:hint="eastAsia"/>
          <w:highlight w:val="none"/>
        </w:rPr>
        <w:t xml:space="preserve">全力一搏阶段 </w:t>
      </w:r>
    </w:p>
    <w:p>
      <w:pPr>
        <w:pStyle w:val="27"/>
        <w:ind w:firstLine="480"/>
        <w:rPr>
          <w:highlight w:val="none"/>
        </w:rPr>
      </w:pPr>
      <w:r>
        <w:rPr>
          <w:highlight w:val="none"/>
        </w:rPr>
        <w:t xml:space="preserve">全力一搏阶段时长90秒。 </w:t>
      </w:r>
    </w:p>
    <w:p>
      <w:pPr>
        <w:pStyle w:val="27"/>
        <w:ind w:firstLine="480"/>
        <w:rPr>
          <w:highlight w:val="none"/>
        </w:rPr>
      </w:pPr>
      <w:r>
        <w:rPr>
          <w:highlight w:val="none"/>
        </w:rPr>
        <w:t>比赛系统5秒倒计时结束后，系统对机器人进行通电，操作手使用蓝牙手柄控制机器人。全力一搏阶段结束时，比赛系统进行5秒倒计时，倒计时结束后系统切断机器人电源。</w:t>
      </w:r>
    </w:p>
    <w:p>
      <w:pPr>
        <w:pStyle w:val="71"/>
        <w:spacing w:before="156" w:beforeLines="50"/>
        <w:rPr>
          <w:highlight w:val="none"/>
        </w:rPr>
      </w:pPr>
      <w:r>
        <w:rPr>
          <w:rFonts w:hint="eastAsia"/>
          <w:highlight w:val="none"/>
        </w:rPr>
        <w:t xml:space="preserve">比赛结束 </w:t>
      </w:r>
    </w:p>
    <w:p>
      <w:pPr>
        <w:pStyle w:val="27"/>
        <w:ind w:firstLine="480"/>
        <w:rPr>
          <w:highlight w:val="none"/>
        </w:rPr>
      </w:pPr>
      <w:r>
        <w:rPr>
          <w:highlight w:val="none"/>
        </w:rPr>
        <w:t>比赛结束后，操作手</w:t>
      </w:r>
      <w:r>
        <w:rPr>
          <w:rFonts w:hint="eastAsia"/>
          <w:highlight w:val="none"/>
        </w:rPr>
        <w:t>须</w:t>
      </w:r>
      <w:r>
        <w:rPr>
          <w:highlight w:val="none"/>
        </w:rPr>
        <w:t xml:space="preserve">立即将手柄放入场地置物筐内，并且明显远离场地边框。 </w:t>
      </w:r>
    </w:p>
    <w:p>
      <w:pPr>
        <w:pStyle w:val="71"/>
        <w:spacing w:before="156" w:beforeLines="50"/>
        <w:rPr>
          <w:highlight w:val="none"/>
        </w:rPr>
      </w:pPr>
      <w:r>
        <w:rPr>
          <w:rFonts w:hint="eastAsia"/>
          <w:highlight w:val="none"/>
        </w:rPr>
        <w:t xml:space="preserve">裁判记分及成绩确认 </w:t>
      </w:r>
    </w:p>
    <w:p>
      <w:pPr>
        <w:pStyle w:val="27"/>
        <w:ind w:firstLine="480"/>
        <w:rPr>
          <w:highlight w:val="none"/>
        </w:rPr>
      </w:pPr>
      <w:r>
        <w:rPr>
          <w:highlight w:val="none"/>
        </w:rPr>
        <w:t xml:space="preserve">比赛结束后，裁判会进行得分统计。如对比赛无异议，双方联盟队长必须签字确认比赛结果。如对比赛结果存在异议，参赛战队无需签字，应在未签字确认成绩的前提下，立刻向当值裁判提出异议，积极沟通。 </w:t>
      </w:r>
    </w:p>
    <w:p>
      <w:pPr>
        <w:pStyle w:val="27"/>
        <w:ind w:firstLine="480"/>
        <w:rPr>
          <w:highlight w:val="none"/>
        </w:rPr>
      </w:pPr>
      <w:r>
        <w:rPr>
          <w:highlight w:val="none"/>
        </w:rPr>
        <w:t>签字确认后，参赛队员应主动协助裁判复原场地道具，并携带机器人和手柄有序离场。</w:t>
      </w:r>
    </w:p>
    <w:p>
      <w:pPr>
        <w:pStyle w:val="103"/>
        <w:rPr>
          <w:rFonts w:eastAsia="思源黑体 CN Heavy"/>
          <w:highlight w:val="none"/>
        </w:rPr>
      </w:pPr>
      <w:bookmarkStart w:id="21" w:name="_Toc1375514006_WPSOffice_Level1"/>
      <w:bookmarkStart w:id="22" w:name="_Toc1459598013"/>
      <w:bookmarkStart w:id="23" w:name="_Toc9288"/>
      <w:r>
        <w:rPr>
          <w:rFonts w:eastAsia="思源黑体 CN Heavy"/>
          <w:highlight w:val="none"/>
        </w:rPr>
        <w:t>技术规范</w:t>
      </w:r>
      <w:bookmarkEnd w:id="21"/>
      <w:bookmarkEnd w:id="22"/>
      <w:bookmarkEnd w:id="23"/>
    </w:p>
    <w:p>
      <w:pPr>
        <w:pStyle w:val="86"/>
        <w:rPr>
          <w:highlight w:val="none"/>
        </w:rPr>
      </w:pPr>
      <w:bookmarkStart w:id="24" w:name="_Toc15072"/>
      <w:bookmarkStart w:id="25" w:name="_Toc758104810"/>
      <w:bookmarkStart w:id="26" w:name="_Toc497351146_WPSOffice_Level2"/>
      <w:r>
        <w:rPr>
          <w:rFonts w:hint="eastAsia"/>
          <w:highlight w:val="none"/>
        </w:rPr>
        <w:t>机器人制作规范</w:t>
      </w:r>
      <w:bookmarkEnd w:id="24"/>
      <w:bookmarkEnd w:id="25"/>
      <w:bookmarkEnd w:id="26"/>
    </w:p>
    <w:p>
      <w:pPr>
        <w:pStyle w:val="27"/>
        <w:ind w:firstLine="480"/>
        <w:rPr>
          <w:highlight w:val="none"/>
        </w:rPr>
      </w:pPr>
      <w:r>
        <w:rPr>
          <w:highlight w:val="none"/>
        </w:rPr>
        <w:t>机器人制作规范为指导各参赛队伍更好的参赛，提供了一个公平公正且安全的竞赛规范。鼓励各参赛队伍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71"/>
        <w:spacing w:after="156" w:afterLines="50"/>
        <w:rPr>
          <w:highlight w:val="none"/>
        </w:rPr>
      </w:pPr>
      <w:r>
        <w:rPr>
          <w:rFonts w:hint="eastAsia"/>
          <w:highlight w:val="none"/>
        </w:rPr>
        <w:t xml:space="preserve">机器人机械规范 </w:t>
      </w:r>
    </w:p>
    <w:p>
      <w:pPr>
        <w:pStyle w:val="34"/>
        <w:spacing w:before="156" w:beforeLines="50"/>
        <w:ind w:firstLine="480"/>
        <w:rPr>
          <w:highlight w:val="none"/>
        </w:rPr>
      </w:pPr>
      <w:r>
        <w:rPr>
          <w:highlight w:val="none"/>
          <w:lang w:val="en-US"/>
        </w:rPr>
        <w:t xml:space="preserve">机器人尺寸规范为：强化改装前：500mm（长）*500mm（宽）*700mm（高）；强化改装后：500mm（长）*500mm（宽），高度不限。机器人的长、宽即赛前检录时定义的长和宽，在此后的比赛任何时刻，都不允许重新定义。若机器人使用柔性材料（机器人尺寸包含柔性材料包含但不限于扎带、胶带、泡沫块等），测量机器人尺寸时，包含柔性材料且柔性材料不可受外力影响。 </w:t>
      </w:r>
    </w:p>
    <w:tbl>
      <w:tblPr>
        <w:tblStyle w:val="18"/>
        <w:tblW w:w="84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3"/>
        <w:gridCol w:w="1677"/>
        <w:gridCol w:w="5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3" w:type="dxa"/>
            <w:vAlign w:val="center"/>
          </w:tcPr>
          <w:p>
            <w:pPr>
              <w:pStyle w:val="104"/>
              <w:jc w:val="center"/>
              <w:rPr>
                <w:highlight w:val="none"/>
              </w:rPr>
            </w:pPr>
          </w:p>
        </w:tc>
        <w:tc>
          <w:tcPr>
            <w:tcW w:w="1677" w:type="dxa"/>
            <w:vAlign w:val="center"/>
          </w:tcPr>
          <w:p>
            <w:pPr>
              <w:pStyle w:val="104"/>
              <w:jc w:val="center"/>
              <w:rPr>
                <w:highlight w:val="none"/>
              </w:rPr>
            </w:pPr>
            <w:r>
              <w:rPr>
                <w:highlight w:val="none"/>
              </w:rPr>
              <w:t>要求</w:t>
            </w:r>
          </w:p>
        </w:tc>
        <w:tc>
          <w:tcPr>
            <w:tcW w:w="5841" w:type="dxa"/>
            <w:vAlign w:val="center"/>
          </w:tcPr>
          <w:p>
            <w:pPr>
              <w:pStyle w:val="104"/>
              <w:jc w:val="center"/>
              <w:rPr>
                <w:highlight w:val="none"/>
              </w:rPr>
            </w:pPr>
            <w:r>
              <w:rPr>
                <w:highlight w:val="none"/>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3" w:type="dxa"/>
            <w:vAlign w:val="center"/>
          </w:tcPr>
          <w:p>
            <w:pPr>
              <w:pStyle w:val="104"/>
              <w:jc w:val="center"/>
              <w:rPr>
                <w:sz w:val="20"/>
                <w:szCs w:val="20"/>
                <w:highlight w:val="none"/>
              </w:rPr>
            </w:pPr>
            <w:r>
              <w:rPr>
                <w:sz w:val="20"/>
                <w:szCs w:val="20"/>
                <w:highlight w:val="none"/>
              </w:rPr>
              <w:t>最大初始尺寸</w:t>
            </w:r>
          </w:p>
        </w:tc>
        <w:tc>
          <w:tcPr>
            <w:tcW w:w="1677" w:type="dxa"/>
            <w:vAlign w:val="center"/>
          </w:tcPr>
          <w:p>
            <w:pPr>
              <w:pStyle w:val="104"/>
              <w:jc w:val="center"/>
              <w:rPr>
                <w:sz w:val="20"/>
                <w:szCs w:val="20"/>
                <w:highlight w:val="none"/>
              </w:rPr>
            </w:pPr>
            <w:r>
              <w:rPr>
                <w:sz w:val="20"/>
                <w:szCs w:val="20"/>
                <w:highlight w:val="none"/>
              </w:rPr>
              <w:t>500 mm（长）</w:t>
            </w:r>
          </w:p>
          <w:p>
            <w:pPr>
              <w:pStyle w:val="104"/>
              <w:jc w:val="center"/>
              <w:rPr>
                <w:sz w:val="20"/>
                <w:szCs w:val="20"/>
                <w:highlight w:val="none"/>
              </w:rPr>
            </w:pPr>
            <w:r>
              <w:rPr>
                <w:sz w:val="20"/>
                <w:szCs w:val="20"/>
                <w:highlight w:val="none"/>
              </w:rPr>
              <w:t>500 mm（宽）</w:t>
            </w:r>
          </w:p>
          <w:p>
            <w:pPr>
              <w:pStyle w:val="104"/>
              <w:jc w:val="center"/>
              <w:rPr>
                <w:highlight w:val="none"/>
              </w:rPr>
            </w:pPr>
            <w:r>
              <w:rPr>
                <w:sz w:val="20"/>
                <w:szCs w:val="20"/>
                <w:highlight w:val="none"/>
              </w:rPr>
              <w:t>700 mm（高）</w:t>
            </w:r>
          </w:p>
        </w:tc>
        <w:tc>
          <w:tcPr>
            <w:tcW w:w="5841" w:type="dxa"/>
            <w:vAlign w:val="bottom"/>
          </w:tcPr>
          <w:p>
            <w:pPr>
              <w:pStyle w:val="104"/>
              <w:rPr>
                <w:highlight w:val="none"/>
              </w:rPr>
            </w:pPr>
            <w:r>
              <w:rPr>
                <w:highlight w:val="none"/>
              </w:rPr>
              <w:t>1.高度不得超过700mm，在地面的垂直投影不得超出500*500mm的方形区域 </w:t>
            </w:r>
          </w:p>
          <w:p>
            <w:pPr>
              <w:pStyle w:val="104"/>
              <w:rPr>
                <w:highlight w:val="none"/>
              </w:rPr>
            </w:pPr>
            <w:r>
              <w:rPr>
                <w:highlight w:val="none"/>
              </w:rPr>
              <w:t>2.正式比赛的强化改装阶段开始前，机器人尺寸必须在最大初始尺寸范围内</w:t>
            </w:r>
          </w:p>
          <w:p>
            <w:pPr>
              <w:pStyle w:val="104"/>
              <w:rPr>
                <w:highlight w:val="none"/>
              </w:rPr>
            </w:pPr>
            <w:r>
              <w:rPr>
                <w:highlight w:val="none"/>
              </w:rPr>
              <w:t>3.检录时，参赛战队须展示机器人的最大尺寸状态，并以此状态进行检录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3" w:type="dxa"/>
            <w:vAlign w:val="center"/>
          </w:tcPr>
          <w:p>
            <w:pPr>
              <w:pStyle w:val="104"/>
              <w:jc w:val="center"/>
              <w:rPr>
                <w:highlight w:val="none"/>
              </w:rPr>
            </w:pPr>
            <w:r>
              <w:rPr>
                <w:highlight w:val="none"/>
              </w:rPr>
              <w:t>最大改装尺寸</w:t>
            </w:r>
          </w:p>
        </w:tc>
        <w:tc>
          <w:tcPr>
            <w:tcW w:w="1677" w:type="dxa"/>
            <w:vAlign w:val="center"/>
          </w:tcPr>
          <w:p>
            <w:pPr>
              <w:pStyle w:val="104"/>
              <w:jc w:val="center"/>
              <w:rPr>
                <w:highlight w:val="none"/>
              </w:rPr>
            </w:pPr>
            <w:r>
              <w:rPr>
                <w:highlight w:val="none"/>
              </w:rPr>
              <w:t>500 mm（长）</w:t>
            </w:r>
          </w:p>
          <w:p>
            <w:pPr>
              <w:pStyle w:val="104"/>
              <w:jc w:val="center"/>
              <w:rPr>
                <w:highlight w:val="none"/>
              </w:rPr>
            </w:pPr>
            <w:r>
              <w:rPr>
                <w:highlight w:val="none"/>
              </w:rPr>
              <w:t>500 mm（宽）</w:t>
            </w:r>
          </w:p>
          <w:p>
            <w:pPr>
              <w:pStyle w:val="104"/>
              <w:jc w:val="center"/>
              <w:rPr>
                <w:highlight w:val="none"/>
              </w:rPr>
            </w:pPr>
            <w:r>
              <w:rPr>
                <w:highlight w:val="none"/>
              </w:rPr>
              <w:t>不限（高）</w:t>
            </w:r>
          </w:p>
        </w:tc>
        <w:tc>
          <w:tcPr>
            <w:tcW w:w="5841" w:type="dxa"/>
            <w:vAlign w:val="bottom"/>
          </w:tcPr>
          <w:p>
            <w:pPr>
              <w:pStyle w:val="104"/>
              <w:rPr>
                <w:highlight w:val="none"/>
              </w:rPr>
            </w:pPr>
            <w:r>
              <w:rPr>
                <w:highlight w:val="none"/>
              </w:rPr>
              <w:t>1.高度不做限制，在地面的垂直投影不得超出500x500mm方形区域</w:t>
            </w:r>
          </w:p>
          <w:p>
            <w:pPr>
              <w:pStyle w:val="104"/>
              <w:rPr>
                <w:highlight w:val="none"/>
              </w:rPr>
            </w:pPr>
            <w:r>
              <w:rPr>
                <w:highlight w:val="none"/>
              </w:rPr>
              <w:t>2.在强化改装后，机器人尺寸必须在最大改装尺寸范围内</w:t>
            </w:r>
          </w:p>
          <w:p>
            <w:pPr>
              <w:pStyle w:val="104"/>
              <w:rPr>
                <w:highlight w:val="none"/>
              </w:rPr>
            </w:pPr>
            <w:r>
              <w:rPr>
                <w:highlight w:val="none"/>
              </w:rPr>
              <w:t>3.检录时，参赛战队需展示机器人的最大尺寸状态，并以此状态进行检录</w:t>
            </w:r>
          </w:p>
        </w:tc>
      </w:tr>
    </w:tbl>
    <w:p>
      <w:pPr>
        <w:pStyle w:val="34"/>
        <w:ind w:firstLine="480"/>
        <w:rPr>
          <w:highlight w:val="none"/>
          <w:lang w:val="en-US"/>
        </w:rPr>
      </w:pPr>
      <w:r>
        <w:rPr>
          <w:highlight w:val="none"/>
          <w:lang w:val="en-US"/>
        </w:rPr>
        <w:t>机器人的重量不得超过10kg。机器人重量指比赛过程中机器人任意时刻最大净重量（包含电池及机器人上实装的所有零部件，包含队旗）</w:t>
      </w:r>
    </w:p>
    <w:p>
      <w:pPr>
        <w:pStyle w:val="34"/>
        <w:ind w:firstLine="480"/>
        <w:rPr>
          <w:highlight w:val="none"/>
          <w:lang w:val="en-US"/>
        </w:rPr>
      </w:pPr>
      <w:r>
        <w:rPr>
          <w:rFonts w:hint="eastAsia"/>
          <w:highlight w:val="none"/>
          <w:lang w:val="en-US"/>
        </w:rPr>
        <w:t>机器人必须带有战队编号及名称的标识，单个字符高于3.5cm，且背景色为浅色，以便在比赛过程中能够清晰的识别队伍身份，若标识不符合制作要求，则检录不通过。</w:t>
      </w:r>
    </w:p>
    <w:p>
      <w:pPr>
        <w:pStyle w:val="34"/>
        <w:ind w:firstLine="480"/>
        <w:rPr>
          <w:highlight w:val="none"/>
          <w:lang w:val="en-US"/>
        </w:rPr>
      </w:pPr>
      <w:r>
        <w:rPr>
          <w:rFonts w:hint="eastAsia"/>
          <w:highlight w:val="none"/>
        </w:rPr>
        <w:t>行驶系统：主控及移动式机器人底盘，包括与地面直接接触的车轮、履带或其他使机器人在平坦场地表面运动的机构。对于静止不动的机器人或没有运动机构的机器人，其与地面直接接触的结构视为行驶系统。</w:t>
      </w:r>
    </w:p>
    <w:p>
      <w:pPr>
        <w:pStyle w:val="34"/>
        <w:ind w:firstLine="480"/>
        <w:rPr>
          <w:highlight w:val="none"/>
        </w:rPr>
      </w:pPr>
      <w:r>
        <w:rPr>
          <w:rFonts w:hint="eastAsia"/>
          <w:highlight w:val="none"/>
        </w:rPr>
        <w:t>一支参赛战队只允许使用1台机器人参加比赛，战队可以在强化改装阶段改装机器人的其他结构。行驶系统不得改装，若队伍改装行驶系统，视为队伍使用第二台机器人，将受到取消比赛资格的处罚。</w:t>
      </w:r>
    </w:p>
    <w:p>
      <w:pPr>
        <w:pStyle w:val="34"/>
        <w:ind w:firstLine="480"/>
        <w:rPr>
          <w:highlight w:val="none"/>
        </w:rPr>
      </w:pPr>
      <w:r>
        <w:rPr>
          <w:rFonts w:hint="eastAsia"/>
          <w:highlight w:val="none"/>
        </w:rPr>
        <w:t>若因零部件故障（如车轮损坏，电机故障，主板故障等）导致的同一零部件更换行为，不属于更换行驶系统。</w:t>
      </w:r>
    </w:p>
    <w:p>
      <w:pPr>
        <w:pStyle w:val="34"/>
        <w:ind w:firstLine="480"/>
        <w:rPr>
          <w:highlight w:val="none"/>
        </w:rPr>
      </w:pPr>
      <w:r>
        <w:rPr>
          <w:rFonts w:hint="eastAsia"/>
          <w:highlight w:val="none"/>
          <w:lang w:val="en-US"/>
        </w:rPr>
        <w:t>参赛战队可使用润滑油对零件进行润滑保</w:t>
      </w:r>
      <w:r>
        <w:rPr>
          <w:highlight w:val="none"/>
          <w:lang w:val="en-US"/>
        </w:rPr>
        <w:t>护，但需注意润滑油不可泄漏造成场地污染</w:t>
      </w:r>
      <w:r>
        <w:rPr>
          <w:rFonts w:hint="eastAsia"/>
          <w:highlight w:val="none"/>
          <w:lang w:val="en-US"/>
        </w:rPr>
        <w:t>。</w:t>
      </w:r>
    </w:p>
    <w:p>
      <w:pPr>
        <w:pStyle w:val="34"/>
        <w:spacing w:before="156" w:beforeLines="50"/>
        <w:ind w:firstLine="480"/>
        <w:rPr>
          <w:highlight w:val="none"/>
          <w:lang w:val="en-US"/>
        </w:rPr>
      </w:pPr>
      <w:r>
        <w:rPr>
          <w:highlight w:val="none"/>
          <w:lang w:val="en-US"/>
        </w:rPr>
        <w:t xml:space="preserve">禁止机器人使用可能造成危险的零部件，例如： </w:t>
      </w:r>
    </w:p>
    <w:p>
      <w:pPr>
        <w:pStyle w:val="27"/>
        <w:numPr>
          <w:ilvl w:val="0"/>
          <w:numId w:val="13"/>
        </w:numPr>
        <w:ind w:left="1265" w:firstLine="480"/>
        <w:rPr>
          <w:highlight w:val="none"/>
        </w:rPr>
      </w:pPr>
      <w:r>
        <w:rPr>
          <w:highlight w:val="none"/>
        </w:rPr>
        <w:t xml:space="preserve">锐利的尖角； </w:t>
      </w:r>
    </w:p>
    <w:p>
      <w:pPr>
        <w:pStyle w:val="27"/>
        <w:numPr>
          <w:ilvl w:val="0"/>
          <w:numId w:val="13"/>
        </w:numPr>
        <w:ind w:left="1265" w:firstLine="480"/>
        <w:rPr>
          <w:highlight w:val="none"/>
        </w:rPr>
      </w:pPr>
      <w:r>
        <w:rPr>
          <w:highlight w:val="none"/>
        </w:rPr>
        <w:t xml:space="preserve">油压件或液压件； </w:t>
      </w:r>
    </w:p>
    <w:p>
      <w:pPr>
        <w:pStyle w:val="27"/>
        <w:numPr>
          <w:ilvl w:val="0"/>
          <w:numId w:val="13"/>
        </w:numPr>
        <w:ind w:left="1265" w:firstLine="480"/>
        <w:rPr>
          <w:highlight w:val="none"/>
        </w:rPr>
      </w:pPr>
      <w:r>
        <w:rPr>
          <w:highlight w:val="none"/>
        </w:rPr>
        <w:t xml:space="preserve">含有水银的开关或触点； </w:t>
      </w:r>
    </w:p>
    <w:p>
      <w:pPr>
        <w:pStyle w:val="27"/>
        <w:numPr>
          <w:ilvl w:val="0"/>
          <w:numId w:val="13"/>
        </w:numPr>
        <w:ind w:left="1265" w:firstLine="480"/>
        <w:rPr>
          <w:highlight w:val="none"/>
        </w:rPr>
      </w:pPr>
      <w:r>
        <w:rPr>
          <w:highlight w:val="none"/>
        </w:rPr>
        <w:t xml:space="preserve">能够将机器人上电流传导至场地上的零件； </w:t>
      </w:r>
    </w:p>
    <w:p>
      <w:pPr>
        <w:pStyle w:val="27"/>
        <w:numPr>
          <w:ilvl w:val="0"/>
          <w:numId w:val="13"/>
        </w:numPr>
        <w:ind w:left="1265" w:firstLine="480"/>
        <w:rPr>
          <w:highlight w:val="none"/>
        </w:rPr>
      </w:pPr>
      <w:r>
        <w:rPr>
          <w:highlight w:val="none"/>
        </w:rPr>
        <w:t xml:space="preserve">易造成与其他机器人固连的零部件，如钩状零件等； </w:t>
      </w:r>
    </w:p>
    <w:p>
      <w:pPr>
        <w:pStyle w:val="27"/>
        <w:numPr>
          <w:ilvl w:val="0"/>
          <w:numId w:val="13"/>
        </w:numPr>
        <w:ind w:left="1265" w:firstLine="480"/>
        <w:rPr>
          <w:highlight w:val="none"/>
        </w:rPr>
      </w:pPr>
      <w:r>
        <w:rPr>
          <w:highlight w:val="none"/>
        </w:rPr>
        <w:t xml:space="preserve">其他裁判裁定可能导致危险的零部件。 </w:t>
      </w:r>
    </w:p>
    <w:p>
      <w:pPr>
        <w:pStyle w:val="34"/>
        <w:spacing w:before="156" w:beforeLines="50"/>
        <w:ind w:firstLine="480"/>
        <w:rPr>
          <w:highlight w:val="none"/>
        </w:rPr>
      </w:pPr>
      <w:r>
        <w:rPr>
          <w:highlight w:val="none"/>
          <w:lang w:val="en-US"/>
        </w:rPr>
        <w:t xml:space="preserve">禁止机器人使用可能造成危险的材料，例如： </w:t>
      </w:r>
    </w:p>
    <w:p>
      <w:pPr>
        <w:pStyle w:val="27"/>
        <w:numPr>
          <w:ilvl w:val="0"/>
          <w:numId w:val="14"/>
        </w:numPr>
        <w:tabs>
          <w:tab w:val="left" w:pos="420"/>
        </w:tabs>
        <w:ind w:left="1265" w:firstLine="480"/>
        <w:rPr>
          <w:highlight w:val="none"/>
        </w:rPr>
      </w:pPr>
      <w:r>
        <w:rPr>
          <w:highlight w:val="none"/>
        </w:rPr>
        <w:t xml:space="preserve">使用易燃易爆气体； </w:t>
      </w:r>
    </w:p>
    <w:p>
      <w:pPr>
        <w:pStyle w:val="27"/>
        <w:numPr>
          <w:ilvl w:val="0"/>
          <w:numId w:val="14"/>
        </w:numPr>
        <w:tabs>
          <w:tab w:val="left" w:pos="420"/>
        </w:tabs>
        <w:ind w:left="1265" w:firstLine="480"/>
        <w:rPr>
          <w:highlight w:val="none"/>
        </w:rPr>
      </w:pPr>
      <w:r>
        <w:rPr>
          <w:highlight w:val="none"/>
        </w:rPr>
        <w:t xml:space="preserve">含有液体或胶状物的材料（按规定少量使用的胶水、润滑油除外）； </w:t>
      </w:r>
    </w:p>
    <w:p>
      <w:pPr>
        <w:pStyle w:val="27"/>
        <w:numPr>
          <w:ilvl w:val="0"/>
          <w:numId w:val="14"/>
        </w:numPr>
        <w:tabs>
          <w:tab w:val="left" w:pos="420"/>
        </w:tabs>
        <w:ind w:left="1265" w:firstLine="480"/>
        <w:rPr>
          <w:highlight w:val="none"/>
        </w:rPr>
      </w:pPr>
      <w:r>
        <w:rPr>
          <w:highlight w:val="none"/>
        </w:rPr>
        <w:t xml:space="preserve">可能造成场地污染的材料，例如沙子、墨水等； </w:t>
      </w:r>
    </w:p>
    <w:p>
      <w:pPr>
        <w:pStyle w:val="27"/>
        <w:numPr>
          <w:ilvl w:val="0"/>
          <w:numId w:val="14"/>
        </w:numPr>
        <w:tabs>
          <w:tab w:val="left" w:pos="420"/>
        </w:tabs>
        <w:ind w:left="1265" w:firstLine="480"/>
        <w:rPr>
          <w:highlight w:val="none"/>
        </w:rPr>
      </w:pPr>
      <w:r>
        <w:rPr>
          <w:highlight w:val="none"/>
        </w:rPr>
        <w:t xml:space="preserve">使用动物组织制作的材料； </w:t>
      </w:r>
    </w:p>
    <w:p>
      <w:pPr>
        <w:pStyle w:val="27"/>
        <w:numPr>
          <w:ilvl w:val="0"/>
          <w:numId w:val="14"/>
        </w:numPr>
        <w:tabs>
          <w:tab w:val="left" w:pos="420"/>
        </w:tabs>
        <w:ind w:left="1265" w:firstLine="480"/>
        <w:rPr>
          <w:highlight w:val="none"/>
        </w:rPr>
      </w:pPr>
      <w:r>
        <w:rPr>
          <w:highlight w:val="none"/>
        </w:rPr>
        <w:t>其他裁判裁定可能导致危险的材料；</w:t>
      </w:r>
    </w:p>
    <w:tbl>
      <w:tblPr>
        <w:tblStyle w:val="17"/>
        <w:tblpPr w:leftFromText="180" w:rightFromText="180" w:vertAnchor="text" w:horzAnchor="margin" w:tblpY="1300"/>
        <w:tblOverlap w:val="never"/>
        <w:tblW w:w="8318" w:type="dxa"/>
        <w:tblInd w:w="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15" w:type="dxa"/>
          <w:left w:w="15" w:type="dxa"/>
          <w:bottom w:w="15" w:type="dxa"/>
          <w:right w:w="15" w:type="dxa"/>
        </w:tblCellMar>
      </w:tblPr>
      <w:tblGrid>
        <w:gridCol w:w="1475"/>
        <w:gridCol w:w="1261"/>
        <w:gridCol w:w="3101"/>
        <w:gridCol w:w="2481"/>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452" w:hRule="atLeast"/>
        </w:trPr>
        <w:tc>
          <w:tcPr>
            <w:tcW w:w="1475" w:type="dxa"/>
            <w:shd w:val="clear" w:color="auto" w:fill="auto"/>
            <w:vAlign w:val="center"/>
          </w:tcPr>
          <w:p>
            <w:pPr>
              <w:widowControl/>
              <w:spacing w:line="240" w:lineRule="auto"/>
              <w:jc w:val="center"/>
              <w:textAlignment w:val="center"/>
              <w:rPr>
                <w:rFonts w:cs="思源黑体 CN Regular"/>
                <w:b/>
                <w:color w:val="000000"/>
                <w:szCs w:val="20"/>
                <w:highlight w:val="none"/>
              </w:rPr>
            </w:pPr>
            <w:r>
              <w:rPr>
                <w:rFonts w:cs="思源黑体 CN Regular"/>
                <w:b/>
                <w:color w:val="000000"/>
                <w:kern w:val="0"/>
                <w:szCs w:val="20"/>
                <w:highlight w:val="none"/>
                <w:lang w:bidi="ar"/>
              </w:rPr>
              <w:t>设备类型</w:t>
            </w:r>
          </w:p>
        </w:tc>
        <w:tc>
          <w:tcPr>
            <w:tcW w:w="1261" w:type="dxa"/>
            <w:shd w:val="clear" w:color="auto" w:fill="auto"/>
            <w:vAlign w:val="center"/>
          </w:tcPr>
          <w:p>
            <w:pPr>
              <w:widowControl/>
              <w:jc w:val="center"/>
              <w:textAlignment w:val="center"/>
              <w:rPr>
                <w:rFonts w:cs="思源黑体 CN Regular"/>
                <w:b/>
                <w:color w:val="000000"/>
                <w:szCs w:val="20"/>
                <w:highlight w:val="none"/>
              </w:rPr>
            </w:pPr>
            <w:r>
              <w:rPr>
                <w:rFonts w:cs="思源黑体 CN Regular"/>
                <w:b/>
                <w:color w:val="000000"/>
                <w:kern w:val="0"/>
                <w:szCs w:val="20"/>
                <w:highlight w:val="none"/>
                <w:lang w:bidi="ar"/>
              </w:rPr>
              <w:t>部件名称</w:t>
            </w:r>
          </w:p>
        </w:tc>
        <w:tc>
          <w:tcPr>
            <w:tcW w:w="3101" w:type="dxa"/>
            <w:shd w:val="clear" w:color="auto" w:fill="auto"/>
            <w:vAlign w:val="center"/>
          </w:tcPr>
          <w:p>
            <w:pPr>
              <w:widowControl/>
              <w:jc w:val="center"/>
              <w:textAlignment w:val="center"/>
              <w:rPr>
                <w:rFonts w:cs="思源黑体 CN Regular"/>
                <w:b/>
                <w:color w:val="000000"/>
                <w:szCs w:val="20"/>
                <w:highlight w:val="none"/>
              </w:rPr>
            </w:pPr>
            <w:r>
              <w:rPr>
                <w:rFonts w:cs="思源黑体 CN Regular"/>
                <w:b/>
                <w:color w:val="000000"/>
                <w:kern w:val="0"/>
                <w:szCs w:val="20"/>
                <w:highlight w:val="none"/>
                <w:lang w:bidi="ar"/>
              </w:rPr>
              <w:t>规格</w:t>
            </w:r>
          </w:p>
        </w:tc>
        <w:tc>
          <w:tcPr>
            <w:tcW w:w="2481" w:type="dxa"/>
            <w:shd w:val="clear" w:color="auto" w:fill="auto"/>
            <w:vAlign w:val="center"/>
          </w:tcPr>
          <w:p>
            <w:pPr>
              <w:widowControl/>
              <w:jc w:val="center"/>
              <w:textAlignment w:val="center"/>
              <w:rPr>
                <w:rFonts w:cs="思源黑体 CN Regular"/>
                <w:b/>
                <w:color w:val="000000"/>
                <w:sz w:val="22"/>
                <w:highlight w:val="none"/>
              </w:rPr>
            </w:pPr>
            <w:r>
              <w:rPr>
                <w:rFonts w:cs="思源黑体 CN Regular"/>
                <w:b/>
                <w:color w:val="000000"/>
                <w:kern w:val="0"/>
                <w:sz w:val="22"/>
                <w:highlight w:val="none"/>
                <w:lang w:bidi="ar"/>
              </w:rPr>
              <w:t>备注</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1388" w:hRule="atLeast"/>
        </w:trPr>
        <w:tc>
          <w:tcPr>
            <w:tcW w:w="1475" w:type="dxa"/>
            <w:vMerge w:val="restart"/>
            <w:shd w:val="clear" w:color="auto" w:fill="auto"/>
            <w:vAlign w:val="center"/>
          </w:tcPr>
          <w:p>
            <w:pPr>
              <w:widowControl/>
              <w:jc w:val="center"/>
              <w:textAlignment w:val="center"/>
              <w:rPr>
                <w:rFonts w:cs="思源黑体 CN Regular"/>
                <w:bCs/>
                <w:color w:val="000000"/>
                <w:szCs w:val="20"/>
                <w:highlight w:val="none"/>
              </w:rPr>
            </w:pPr>
            <w:r>
              <w:rPr>
                <w:rFonts w:cs="思源黑体 CN Regular"/>
                <w:bCs/>
                <w:color w:val="000000"/>
                <w:kern w:val="0"/>
                <w:szCs w:val="20"/>
                <w:highlight w:val="none"/>
                <w:lang w:bidi="ar"/>
              </w:rPr>
              <w:t>电机&amp;舵机</w:t>
            </w:r>
          </w:p>
        </w:tc>
        <w:tc>
          <w:tcPr>
            <w:tcW w:w="1261" w:type="dxa"/>
            <w:vMerge w:val="restart"/>
            <w:shd w:val="clear" w:color="auto" w:fill="auto"/>
            <w:vAlign w:val="center"/>
          </w:tcPr>
          <w:p>
            <w:pPr>
              <w:widowControl/>
              <w:jc w:val="center"/>
              <w:textAlignment w:val="center"/>
              <w:rPr>
                <w:rFonts w:cs="思源黑体 CN Regular"/>
                <w:bCs/>
                <w:color w:val="000000"/>
                <w:szCs w:val="20"/>
                <w:highlight w:val="none"/>
              </w:rPr>
            </w:pPr>
            <w:r>
              <w:rPr>
                <w:rFonts w:cs="思源黑体 CN Regular"/>
                <w:bCs/>
                <w:color w:val="000000"/>
                <w:kern w:val="0"/>
                <w:szCs w:val="20"/>
                <w:highlight w:val="none"/>
                <w:lang w:bidi="ar"/>
              </w:rPr>
              <w:t>直流电机</w:t>
            </w:r>
          </w:p>
        </w:tc>
        <w:tc>
          <w:tcPr>
            <w:tcW w:w="3101" w:type="dxa"/>
            <w:shd w:val="clear" w:color="auto" w:fill="auto"/>
            <w:vAlign w:val="center"/>
          </w:tcPr>
          <w:p>
            <w:pPr>
              <w:widowControl/>
              <w:textAlignment w:val="center"/>
              <w:rPr>
                <w:rFonts w:cs="思源黑体 CN Regular"/>
                <w:bCs/>
                <w:color w:val="000000"/>
                <w:kern w:val="0"/>
                <w:szCs w:val="20"/>
                <w:highlight w:val="none"/>
                <w:lang w:bidi="ar"/>
              </w:rPr>
            </w:pPr>
            <w:r>
              <w:rPr>
                <w:rFonts w:cs="思源黑体 CN Regular"/>
                <w:bCs/>
                <w:color w:val="000000"/>
                <w:kern w:val="0"/>
                <w:szCs w:val="20"/>
                <w:highlight w:val="none"/>
                <w:lang w:bidi="ar"/>
              </w:rPr>
              <w:t>25直流电机</w:t>
            </w:r>
          </w:p>
          <w:p>
            <w:pPr>
              <w:widowControl/>
              <w:textAlignment w:val="center"/>
              <w:rPr>
                <w:rFonts w:cs="思源黑体 CN Regular"/>
                <w:bCs/>
                <w:color w:val="000000"/>
                <w:szCs w:val="20"/>
                <w:highlight w:val="none"/>
              </w:rPr>
            </w:pPr>
            <w:r>
              <w:rPr>
                <w:rFonts w:cs="思源黑体 CN Regular"/>
                <w:bCs/>
                <w:color w:val="000000"/>
                <w:kern w:val="0"/>
                <w:szCs w:val="20"/>
                <w:highlight w:val="none"/>
                <w:lang w:bidi="ar"/>
              </w:rPr>
              <w:t>额定电压：6V</w:t>
            </w:r>
          </w:p>
          <w:p>
            <w:pPr>
              <w:widowControl/>
              <w:textAlignment w:val="center"/>
              <w:rPr>
                <w:rFonts w:cs="思源黑体 CN Regular"/>
                <w:bCs/>
                <w:color w:val="000000"/>
                <w:szCs w:val="20"/>
                <w:highlight w:val="none"/>
              </w:rPr>
            </w:pPr>
            <w:r>
              <w:rPr>
                <w:rFonts w:cs="思源黑体 CN Regular"/>
                <w:bCs/>
                <w:color w:val="000000"/>
                <w:kern w:val="0"/>
                <w:szCs w:val="20"/>
                <w:highlight w:val="none"/>
                <w:lang w:bidi="ar"/>
              </w:rPr>
              <w:t>额定转速：50&amp;200RPM</w:t>
            </w:r>
          </w:p>
        </w:tc>
        <w:tc>
          <w:tcPr>
            <w:tcW w:w="2481" w:type="dxa"/>
            <w:vMerge w:val="restart"/>
            <w:shd w:val="clear" w:color="auto" w:fill="auto"/>
            <w:vAlign w:val="center"/>
          </w:tcPr>
          <w:p>
            <w:pPr>
              <w:widowControl/>
              <w:jc w:val="center"/>
              <w:textAlignment w:val="center"/>
              <w:rPr>
                <w:rFonts w:cs="思源黑体 CN Regular"/>
                <w:bCs/>
                <w:color w:val="000000"/>
                <w:kern w:val="0"/>
                <w:sz w:val="22"/>
                <w:highlight w:val="none"/>
                <w:lang w:bidi="ar"/>
              </w:rPr>
            </w:pPr>
            <w:r>
              <w:rPr>
                <w:rFonts w:cs="思源黑体 CN Regular"/>
                <w:bCs/>
                <w:color w:val="000000"/>
                <w:kern w:val="0"/>
                <w:sz w:val="22"/>
                <w:highlight w:val="none"/>
                <w:lang w:bidi="ar"/>
              </w:rPr>
              <w:t>电机总数量最多13个</w:t>
            </w:r>
          </w:p>
          <w:p>
            <w:pPr>
              <w:widowControl/>
              <w:jc w:val="center"/>
              <w:textAlignment w:val="center"/>
              <w:rPr>
                <w:rFonts w:cs="思源黑体 CN Regular"/>
                <w:bCs/>
                <w:color w:val="000000"/>
                <w:kern w:val="0"/>
                <w:sz w:val="22"/>
                <w:highlight w:val="none"/>
                <w:lang w:bidi="ar"/>
              </w:rPr>
            </w:pPr>
            <w:r>
              <w:rPr>
                <w:rFonts w:hint="eastAsia" w:cs="思源黑体 CN Regular"/>
                <w:bCs/>
                <w:color w:val="000000"/>
                <w:kern w:val="0"/>
                <w:sz w:val="22"/>
                <w:highlight w:val="none"/>
                <w:lang w:bidi="ar"/>
              </w:rPr>
              <w:t>舵机数量最多6个</w:t>
            </w:r>
          </w:p>
          <w:p>
            <w:pPr>
              <w:widowControl/>
              <w:jc w:val="center"/>
              <w:textAlignment w:val="center"/>
              <w:rPr>
                <w:rFonts w:cs="思源黑体 CN Regular"/>
                <w:bCs/>
                <w:color w:val="000000"/>
                <w:sz w:val="22"/>
                <w:highlight w:val="none"/>
              </w:rPr>
            </w:pPr>
            <w:r>
              <w:rPr>
                <w:rFonts w:cs="思源黑体 CN Regular"/>
                <w:bCs/>
                <w:color w:val="000000"/>
                <w:kern w:val="0"/>
                <w:sz w:val="22"/>
                <w:highlight w:val="none"/>
                <w:lang w:bidi="ar"/>
              </w:rPr>
              <w:t>禁止更改任何电机或舵机内部的机械结构和电气布局</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90" w:hRule="atLeast"/>
        </w:trPr>
        <w:tc>
          <w:tcPr>
            <w:tcW w:w="1475" w:type="dxa"/>
            <w:vMerge w:val="continue"/>
            <w:shd w:val="clear" w:color="auto" w:fill="auto"/>
            <w:vAlign w:val="center"/>
          </w:tcPr>
          <w:p>
            <w:pPr>
              <w:jc w:val="center"/>
              <w:rPr>
                <w:rFonts w:cs="思源黑体 CN Regular"/>
                <w:color w:val="000000"/>
                <w:szCs w:val="20"/>
                <w:highlight w:val="none"/>
              </w:rPr>
            </w:pPr>
          </w:p>
        </w:tc>
        <w:tc>
          <w:tcPr>
            <w:tcW w:w="1261" w:type="dxa"/>
            <w:vMerge w:val="continue"/>
            <w:shd w:val="clear" w:color="auto" w:fill="auto"/>
            <w:vAlign w:val="center"/>
          </w:tcPr>
          <w:p>
            <w:pPr>
              <w:jc w:val="center"/>
              <w:rPr>
                <w:rFonts w:cs="思源黑体 CN Regular"/>
                <w:color w:val="000000"/>
                <w:szCs w:val="20"/>
                <w:highlight w:val="none"/>
              </w:rPr>
            </w:pPr>
          </w:p>
        </w:tc>
        <w:tc>
          <w:tcPr>
            <w:tcW w:w="3101" w:type="dxa"/>
            <w:shd w:val="clear" w:color="auto" w:fill="auto"/>
            <w:vAlign w:val="center"/>
          </w:tcPr>
          <w:p>
            <w:pPr>
              <w:widowControl/>
              <w:textAlignment w:val="center"/>
              <w:rPr>
                <w:rFonts w:cs="思源黑体 CN Regular"/>
                <w:color w:val="000000"/>
                <w:kern w:val="0"/>
                <w:szCs w:val="20"/>
                <w:highlight w:val="none"/>
                <w:lang w:bidi="ar"/>
              </w:rPr>
            </w:pPr>
            <w:r>
              <w:rPr>
                <w:rFonts w:cs="思源黑体 CN Regular"/>
                <w:color w:val="000000"/>
                <w:kern w:val="0"/>
                <w:szCs w:val="20"/>
                <w:highlight w:val="none"/>
                <w:lang w:bidi="ar"/>
              </w:rPr>
              <w:t>37直流电机</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额定电压：12V</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额定转速：50&amp;200RPM</w:t>
            </w:r>
          </w:p>
        </w:tc>
        <w:tc>
          <w:tcPr>
            <w:tcW w:w="2481" w:type="dxa"/>
            <w:vMerge w:val="continue"/>
            <w:shd w:val="clear" w:color="auto" w:fill="auto"/>
            <w:vAlign w:val="center"/>
          </w:tcPr>
          <w:p>
            <w:pPr>
              <w:rPr>
                <w:rFonts w:cs="思源黑体 CN Regular"/>
                <w:color w:val="000000"/>
                <w:sz w:val="22"/>
                <w:highlight w:val="none"/>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1170" w:hRule="atLeast"/>
        </w:trPr>
        <w:tc>
          <w:tcPr>
            <w:tcW w:w="1475" w:type="dxa"/>
            <w:vMerge w:val="continue"/>
            <w:shd w:val="clear" w:color="auto" w:fill="auto"/>
            <w:vAlign w:val="center"/>
          </w:tcPr>
          <w:p>
            <w:pPr>
              <w:jc w:val="center"/>
              <w:rPr>
                <w:rFonts w:cs="思源黑体 CN Regular"/>
                <w:color w:val="000000"/>
                <w:szCs w:val="20"/>
                <w:highlight w:val="none"/>
              </w:rPr>
            </w:pPr>
          </w:p>
        </w:tc>
        <w:tc>
          <w:tcPr>
            <w:tcW w:w="1261" w:type="dxa"/>
            <w:vMerge w:val="restart"/>
            <w:shd w:val="clear" w:color="auto" w:fill="auto"/>
            <w:vAlign w:val="center"/>
          </w:tcPr>
          <w:p>
            <w:pPr>
              <w:widowControl/>
              <w:jc w:val="center"/>
              <w:textAlignment w:val="center"/>
              <w:rPr>
                <w:rFonts w:cs="思源黑体 CN Regular"/>
                <w:color w:val="000000"/>
                <w:szCs w:val="20"/>
                <w:highlight w:val="none"/>
              </w:rPr>
            </w:pPr>
            <w:r>
              <w:rPr>
                <w:rFonts w:cs="思源黑体 CN Regular"/>
                <w:color w:val="000000"/>
                <w:kern w:val="0"/>
                <w:szCs w:val="20"/>
                <w:highlight w:val="none"/>
                <w:lang w:bidi="ar"/>
              </w:rPr>
              <w:t>无刷电机</w:t>
            </w:r>
          </w:p>
        </w:tc>
        <w:tc>
          <w:tcPr>
            <w:tcW w:w="3101" w:type="dxa"/>
            <w:shd w:val="clear" w:color="auto" w:fill="auto"/>
            <w:vAlign w:val="center"/>
          </w:tcPr>
          <w:p>
            <w:pPr>
              <w:widowControl/>
              <w:textAlignment w:val="center"/>
              <w:rPr>
                <w:rFonts w:cs="思源黑体 CN Regular"/>
                <w:color w:val="000000"/>
                <w:kern w:val="0"/>
                <w:szCs w:val="20"/>
                <w:highlight w:val="none"/>
                <w:lang w:bidi="ar"/>
              </w:rPr>
            </w:pPr>
            <w:r>
              <w:rPr>
                <w:rFonts w:cs="思源黑体 CN Regular"/>
                <w:color w:val="000000"/>
                <w:kern w:val="0"/>
                <w:szCs w:val="20"/>
                <w:highlight w:val="none"/>
                <w:lang w:bidi="ar"/>
              </w:rPr>
              <w:t>2823/2824无刷电机</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额定电压：10000 mA MAX</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额定转速：7300 rpm</w:t>
            </w:r>
          </w:p>
        </w:tc>
        <w:tc>
          <w:tcPr>
            <w:tcW w:w="2481" w:type="dxa"/>
            <w:vMerge w:val="continue"/>
            <w:shd w:val="clear" w:color="auto" w:fill="auto"/>
            <w:vAlign w:val="center"/>
          </w:tcPr>
          <w:p>
            <w:pPr>
              <w:rPr>
                <w:rFonts w:ascii="宋体" w:hAnsi="宋体" w:eastAsia="宋体" w:cs="宋体"/>
                <w:color w:val="000000"/>
                <w:sz w:val="24"/>
                <w:szCs w:val="24"/>
                <w:highlight w:val="none"/>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1324" w:hRule="atLeast"/>
        </w:trPr>
        <w:tc>
          <w:tcPr>
            <w:tcW w:w="1475" w:type="dxa"/>
            <w:vMerge w:val="continue"/>
            <w:shd w:val="clear" w:color="auto" w:fill="auto"/>
            <w:vAlign w:val="center"/>
          </w:tcPr>
          <w:p>
            <w:pPr>
              <w:jc w:val="center"/>
              <w:rPr>
                <w:rFonts w:cs="思源黑体 CN Regular"/>
                <w:color w:val="000000"/>
                <w:szCs w:val="20"/>
                <w:highlight w:val="none"/>
              </w:rPr>
            </w:pPr>
          </w:p>
        </w:tc>
        <w:tc>
          <w:tcPr>
            <w:tcW w:w="1261" w:type="dxa"/>
            <w:vMerge w:val="restart"/>
            <w:shd w:val="clear" w:color="auto" w:fill="auto"/>
            <w:vAlign w:val="center"/>
          </w:tcPr>
          <w:p>
            <w:pPr>
              <w:widowControl/>
              <w:jc w:val="center"/>
              <w:textAlignment w:val="center"/>
              <w:rPr>
                <w:rFonts w:cs="思源黑体 CN Regular"/>
                <w:color w:val="000000"/>
                <w:szCs w:val="20"/>
                <w:highlight w:val="none"/>
              </w:rPr>
            </w:pPr>
            <w:r>
              <w:rPr>
                <w:rFonts w:cs="思源黑体 CN Regular"/>
                <w:color w:val="000000"/>
                <w:kern w:val="0"/>
                <w:szCs w:val="20"/>
                <w:highlight w:val="none"/>
                <w:lang w:bidi="ar"/>
              </w:rPr>
              <w:t>编码电机</w:t>
            </w:r>
          </w:p>
        </w:tc>
        <w:tc>
          <w:tcPr>
            <w:tcW w:w="3101" w:type="dxa"/>
            <w:shd w:val="clear" w:color="auto" w:fill="auto"/>
            <w:vAlign w:val="center"/>
          </w:tcPr>
          <w:p>
            <w:pPr>
              <w:widowControl/>
              <w:textAlignment w:val="center"/>
              <w:rPr>
                <w:rFonts w:cs="思源黑体 CN Regular"/>
                <w:color w:val="000000"/>
                <w:kern w:val="0"/>
                <w:szCs w:val="20"/>
                <w:highlight w:val="none"/>
                <w:lang w:bidi="ar"/>
              </w:rPr>
            </w:pPr>
            <w:r>
              <w:rPr>
                <w:rFonts w:cs="思源黑体 CN Regular"/>
                <w:color w:val="000000"/>
                <w:kern w:val="0"/>
                <w:szCs w:val="20"/>
                <w:highlight w:val="none"/>
                <w:lang w:bidi="ar"/>
              </w:rPr>
              <w:t>180智能编码电机</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额定电压：12</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空载转速：580±10%RPM</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减速比：39:43</w:t>
            </w:r>
          </w:p>
        </w:tc>
        <w:tc>
          <w:tcPr>
            <w:tcW w:w="2481" w:type="dxa"/>
            <w:vMerge w:val="continue"/>
            <w:shd w:val="clear" w:color="auto" w:fill="auto"/>
            <w:vAlign w:val="center"/>
          </w:tcPr>
          <w:p>
            <w:pPr>
              <w:rPr>
                <w:rFonts w:ascii="宋体" w:hAnsi="宋体" w:eastAsia="宋体" w:cs="宋体"/>
                <w:color w:val="000000"/>
                <w:sz w:val="24"/>
                <w:szCs w:val="24"/>
                <w:highlight w:val="none"/>
              </w:rPr>
            </w:pP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15" w:type="dxa"/>
            <w:left w:w="15" w:type="dxa"/>
            <w:bottom w:w="15" w:type="dxa"/>
            <w:right w:w="15" w:type="dxa"/>
          </w:tblCellMar>
        </w:tblPrEx>
        <w:trPr>
          <w:trHeight w:val="1375" w:hRule="atLeast"/>
        </w:trPr>
        <w:tc>
          <w:tcPr>
            <w:tcW w:w="1475" w:type="dxa"/>
            <w:vMerge w:val="continue"/>
            <w:shd w:val="clear" w:color="auto" w:fill="auto"/>
            <w:vAlign w:val="center"/>
          </w:tcPr>
          <w:p>
            <w:pPr>
              <w:jc w:val="center"/>
              <w:rPr>
                <w:rFonts w:cs="思源黑体 CN Regular"/>
                <w:color w:val="000000"/>
                <w:szCs w:val="20"/>
                <w:highlight w:val="none"/>
              </w:rPr>
            </w:pPr>
          </w:p>
        </w:tc>
        <w:tc>
          <w:tcPr>
            <w:tcW w:w="1261" w:type="dxa"/>
            <w:shd w:val="clear" w:color="auto" w:fill="auto"/>
            <w:vAlign w:val="center"/>
          </w:tcPr>
          <w:p>
            <w:pPr>
              <w:widowControl/>
              <w:jc w:val="center"/>
              <w:textAlignment w:val="center"/>
              <w:rPr>
                <w:rFonts w:cs="思源黑体 CN Regular"/>
                <w:color w:val="000000"/>
                <w:szCs w:val="20"/>
                <w:highlight w:val="none"/>
              </w:rPr>
            </w:pPr>
            <w:r>
              <w:rPr>
                <w:rFonts w:cs="思源黑体 CN Regular"/>
                <w:color w:val="000000"/>
                <w:kern w:val="0"/>
                <w:szCs w:val="20"/>
                <w:highlight w:val="none"/>
                <w:lang w:bidi="ar"/>
              </w:rPr>
              <w:t>智能舵机</w:t>
            </w:r>
          </w:p>
        </w:tc>
        <w:tc>
          <w:tcPr>
            <w:tcW w:w="3101" w:type="dxa"/>
            <w:shd w:val="clear" w:color="auto" w:fill="auto"/>
            <w:vAlign w:val="center"/>
          </w:tcPr>
          <w:p>
            <w:pPr>
              <w:widowControl/>
              <w:textAlignment w:val="center"/>
              <w:rPr>
                <w:rFonts w:cs="思源黑体 CN Regular"/>
                <w:color w:val="000000"/>
                <w:kern w:val="0"/>
                <w:szCs w:val="20"/>
                <w:highlight w:val="none"/>
                <w:lang w:bidi="ar"/>
              </w:rPr>
            </w:pPr>
            <w:r>
              <w:rPr>
                <w:rFonts w:cs="思源黑体 CN Regular"/>
                <w:color w:val="000000"/>
                <w:kern w:val="0"/>
                <w:szCs w:val="20"/>
                <w:highlight w:val="none"/>
                <w:lang w:bidi="ar"/>
              </w:rPr>
              <w:t>MS-12A智能舵机</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工作电压：DC6V~12.6V</w:t>
            </w:r>
          </w:p>
          <w:p>
            <w:pPr>
              <w:widowControl/>
              <w:textAlignment w:val="center"/>
              <w:rPr>
                <w:rFonts w:cs="思源黑体 CN Regular"/>
                <w:color w:val="000000"/>
                <w:szCs w:val="20"/>
                <w:highlight w:val="none"/>
              </w:rPr>
            </w:pPr>
            <w:r>
              <w:rPr>
                <w:rFonts w:cs="思源黑体 CN Regular"/>
                <w:color w:val="000000"/>
                <w:kern w:val="0"/>
                <w:szCs w:val="20"/>
                <w:highlight w:val="none"/>
                <w:lang w:bidi="ar"/>
              </w:rPr>
              <w:t>扭矩：12kgf.cm</w:t>
            </w:r>
          </w:p>
        </w:tc>
        <w:tc>
          <w:tcPr>
            <w:tcW w:w="2481" w:type="dxa"/>
            <w:vMerge w:val="continue"/>
            <w:shd w:val="clear" w:color="auto" w:fill="auto"/>
            <w:vAlign w:val="center"/>
          </w:tcPr>
          <w:p>
            <w:pPr>
              <w:rPr>
                <w:rFonts w:ascii="宋体" w:hAnsi="宋体" w:eastAsia="宋体" w:cs="宋体"/>
                <w:color w:val="000000"/>
                <w:sz w:val="24"/>
                <w:szCs w:val="24"/>
                <w:highlight w:val="none"/>
              </w:rPr>
            </w:pPr>
          </w:p>
        </w:tc>
      </w:tr>
    </w:tbl>
    <w:p>
      <w:pPr>
        <w:pStyle w:val="34"/>
        <w:ind w:firstLine="480"/>
        <w:rPr>
          <w:highlight w:val="none"/>
          <w:lang w:val="en-US"/>
        </w:rPr>
      </w:pPr>
      <w:r>
        <w:rPr>
          <w:highlight w:val="none"/>
          <w:lang w:val="en-US"/>
        </w:rPr>
        <w:t>为确保比赛的公平性，防止战队使用部分高性能设备破坏比赛公平性，战队使用的器材性能不得超过以下指标：</w:t>
      </w:r>
    </w:p>
    <w:p>
      <w:pPr>
        <w:pStyle w:val="35"/>
        <w:numPr>
          <w:ilvl w:val="0"/>
          <w:numId w:val="0"/>
        </w:numPr>
        <w:ind w:left="480"/>
        <w:rPr>
          <w:highlight w:val="none"/>
        </w:rPr>
      </w:pPr>
    </w:p>
    <w:p>
      <w:pPr>
        <w:pStyle w:val="71"/>
        <w:spacing w:after="156" w:afterLines="50"/>
        <w:rPr>
          <w:highlight w:val="none"/>
        </w:rPr>
      </w:pPr>
      <w:r>
        <w:rPr>
          <w:rFonts w:hint="eastAsia"/>
          <w:highlight w:val="none"/>
        </w:rPr>
        <w:t xml:space="preserve">机器人电子技术规范 </w:t>
      </w:r>
    </w:p>
    <w:p>
      <w:pPr>
        <w:pStyle w:val="34"/>
        <w:ind w:firstLine="480"/>
        <w:rPr>
          <w:highlight w:val="none"/>
        </w:rPr>
      </w:pPr>
      <w:r>
        <w:rPr>
          <w:highlight w:val="none"/>
          <w:lang w:val="en-US"/>
        </w:rPr>
        <w:t>除激光瞄准装置以外，每台机器人只能使用至多</w:t>
      </w:r>
      <w:r>
        <w:rPr>
          <w:rFonts w:hint="eastAsia"/>
          <w:highlight w:val="none"/>
          <w:lang w:val="en-US"/>
        </w:rPr>
        <w:t>1</w:t>
      </w:r>
      <w:r>
        <w:rPr>
          <w:highlight w:val="none"/>
          <w:lang w:val="en-US"/>
        </w:rPr>
        <w:t xml:space="preserve">块电池，且电池需安全固定于机器内部。机器人运动过程中电池不可发生磕碰或脱离机器人本体。 </w:t>
      </w:r>
    </w:p>
    <w:p>
      <w:pPr>
        <w:pStyle w:val="34"/>
        <w:ind w:firstLine="480"/>
        <w:rPr>
          <w:highlight w:val="none"/>
        </w:rPr>
      </w:pPr>
      <w:r>
        <w:rPr>
          <w:highlight w:val="none"/>
          <w:lang w:val="en-US"/>
        </w:rPr>
        <w:t>若参赛战队机器人使用激光瞄准器，该激光瞄准器功率需小于等于5mW（第3 a/R级以下），每台机器人仅允许安装至多</w:t>
      </w:r>
      <w:r>
        <w:rPr>
          <w:rFonts w:hint="eastAsia"/>
          <w:highlight w:val="none"/>
          <w:lang w:val="en-US"/>
        </w:rPr>
        <w:t>1</w:t>
      </w:r>
      <w:r>
        <w:rPr>
          <w:highlight w:val="none"/>
          <w:lang w:val="en-US"/>
        </w:rPr>
        <w:t xml:space="preserve">个激光瞄准器。 </w:t>
      </w:r>
    </w:p>
    <w:p>
      <w:pPr>
        <w:pStyle w:val="34"/>
        <w:ind w:firstLine="480"/>
        <w:rPr>
          <w:highlight w:val="none"/>
        </w:rPr>
      </w:pPr>
      <w:r>
        <w:rPr>
          <w:highlight w:val="none"/>
          <w:lang w:val="en-US"/>
        </w:rPr>
        <w:t xml:space="preserve">电池导线需保证完整无损，不得出现裂缝破损，不得露出金属导线。供电线路与机器人结构件需保证电气隔离。 </w:t>
      </w:r>
    </w:p>
    <w:p>
      <w:pPr>
        <w:pStyle w:val="34"/>
        <w:ind w:firstLine="480"/>
        <w:rPr>
          <w:highlight w:val="none"/>
        </w:rPr>
      </w:pPr>
      <w:r>
        <w:rPr>
          <w:highlight w:val="none"/>
          <w:lang w:val="en-US"/>
        </w:rPr>
        <w:t>为防止战队使用部分高性能</w:t>
      </w:r>
      <w:r>
        <w:rPr>
          <w:rFonts w:hint="eastAsia"/>
          <w:highlight w:val="none"/>
          <w:lang w:val="en-US" w:eastAsia="zh-Hans"/>
        </w:rPr>
        <w:t>电子设备</w:t>
      </w:r>
      <w:r>
        <w:rPr>
          <w:highlight w:val="none"/>
          <w:lang w:val="en-US"/>
        </w:rPr>
        <w:t>破坏比赛公平性，战队使用的</w:t>
      </w:r>
      <w:r>
        <w:rPr>
          <w:rFonts w:hint="eastAsia"/>
          <w:highlight w:val="none"/>
          <w:lang w:val="en-US" w:eastAsia="zh-Hans"/>
        </w:rPr>
        <w:t>电子设备</w:t>
      </w:r>
      <w:r>
        <w:rPr>
          <w:highlight w:val="none"/>
          <w:lang w:val="en-US"/>
        </w:rPr>
        <w:t>需满足且不得超过以下性能指标：</w:t>
      </w:r>
    </w:p>
    <w:p>
      <w:pPr>
        <w:pStyle w:val="34"/>
        <w:numPr>
          <w:ilvl w:val="0"/>
          <w:numId w:val="0"/>
        </w:numPr>
        <w:rPr>
          <w:highlight w:val="none"/>
        </w:rPr>
      </w:pPr>
      <w:r>
        <w:rPr>
          <w:highlight w:val="none"/>
          <w:lang w:val="en-US"/>
        </w:rPr>
        <w:t xml:space="preserve"> </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562"/>
        <w:gridCol w:w="3430"/>
        <w:gridCol w:w="2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vAlign w:val="center"/>
          </w:tcPr>
          <w:p>
            <w:pPr>
              <w:pStyle w:val="104"/>
              <w:jc w:val="center"/>
              <w:rPr>
                <w:rFonts w:cs="思源黑体 CN Regular"/>
                <w:b/>
                <w:bCs/>
                <w:sz w:val="20"/>
                <w:szCs w:val="20"/>
                <w:highlight w:val="none"/>
              </w:rPr>
            </w:pPr>
            <w:r>
              <w:rPr>
                <w:rFonts w:hint="eastAsia" w:cs="思源黑体 CN Regular"/>
                <w:b/>
                <w:bCs/>
                <w:sz w:val="20"/>
                <w:szCs w:val="20"/>
                <w:highlight w:val="none"/>
              </w:rPr>
              <w:t>系统名称</w:t>
            </w:r>
          </w:p>
        </w:tc>
        <w:tc>
          <w:tcPr>
            <w:tcW w:w="1562" w:type="dxa"/>
            <w:vAlign w:val="center"/>
          </w:tcPr>
          <w:p>
            <w:pPr>
              <w:pStyle w:val="104"/>
              <w:jc w:val="center"/>
              <w:rPr>
                <w:rFonts w:cs="思源黑体 CN Regular"/>
                <w:b/>
                <w:bCs/>
                <w:sz w:val="20"/>
                <w:szCs w:val="20"/>
                <w:highlight w:val="none"/>
              </w:rPr>
            </w:pPr>
            <w:r>
              <w:rPr>
                <w:rFonts w:hint="eastAsia" w:cs="思源黑体 CN Regular"/>
                <w:b/>
                <w:bCs/>
                <w:sz w:val="20"/>
                <w:szCs w:val="20"/>
                <w:highlight w:val="none"/>
              </w:rPr>
              <w:t>模块名称</w:t>
            </w:r>
          </w:p>
        </w:tc>
        <w:tc>
          <w:tcPr>
            <w:tcW w:w="3430" w:type="dxa"/>
            <w:vAlign w:val="center"/>
          </w:tcPr>
          <w:p>
            <w:pPr>
              <w:pStyle w:val="104"/>
              <w:jc w:val="center"/>
              <w:rPr>
                <w:rFonts w:cs="思源黑体 CN Regular"/>
                <w:b/>
                <w:bCs/>
                <w:sz w:val="20"/>
                <w:szCs w:val="20"/>
                <w:highlight w:val="none"/>
              </w:rPr>
            </w:pPr>
            <w:r>
              <w:rPr>
                <w:rFonts w:hint="eastAsia" w:cs="思源黑体 CN Regular"/>
                <w:b/>
                <w:bCs/>
                <w:sz w:val="20"/>
                <w:szCs w:val="20"/>
                <w:highlight w:val="none"/>
              </w:rPr>
              <w:t>规格</w:t>
            </w:r>
          </w:p>
        </w:tc>
        <w:tc>
          <w:tcPr>
            <w:tcW w:w="2058" w:type="dxa"/>
            <w:vAlign w:val="center"/>
          </w:tcPr>
          <w:p>
            <w:pPr>
              <w:pStyle w:val="104"/>
              <w:jc w:val="center"/>
              <w:rPr>
                <w:rFonts w:cs="思源黑体 CN Regular"/>
                <w:b/>
                <w:bCs/>
                <w:sz w:val="20"/>
                <w:szCs w:val="20"/>
                <w:highlight w:val="none"/>
              </w:rPr>
            </w:pPr>
            <w:r>
              <w:rPr>
                <w:rFonts w:hint="eastAsia" w:cs="思源黑体 CN Regular"/>
                <w:b/>
                <w:bCs/>
                <w:sz w:val="20"/>
                <w:szCs w:val="20"/>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vAlign w:val="center"/>
          </w:tcPr>
          <w:p>
            <w:pPr>
              <w:pStyle w:val="104"/>
              <w:jc w:val="center"/>
              <w:rPr>
                <w:rFonts w:cs="思源黑体 CN Regular"/>
                <w:sz w:val="20"/>
                <w:szCs w:val="20"/>
                <w:highlight w:val="none"/>
              </w:rPr>
            </w:pPr>
            <w:bookmarkStart w:id="27" w:name="_Hlk90389353"/>
            <w:r>
              <w:rPr>
                <w:rFonts w:hint="eastAsia" w:cs="思源黑体 CN Regular"/>
                <w:sz w:val="20"/>
                <w:szCs w:val="20"/>
                <w:highlight w:val="none"/>
              </w:rPr>
              <w:t>电力系统</w:t>
            </w:r>
          </w:p>
        </w:tc>
        <w:tc>
          <w:tcPr>
            <w:tcW w:w="1562" w:type="dxa"/>
            <w:vAlign w:val="center"/>
          </w:tcPr>
          <w:p>
            <w:pPr>
              <w:pStyle w:val="104"/>
              <w:jc w:val="center"/>
              <w:rPr>
                <w:rFonts w:cs="思源黑体 CN Regular"/>
                <w:sz w:val="20"/>
                <w:szCs w:val="20"/>
                <w:highlight w:val="none"/>
              </w:rPr>
            </w:pPr>
            <w:r>
              <w:rPr>
                <w:rFonts w:hint="eastAsia" w:cs="思源黑体 CN Regular"/>
                <w:sz w:val="20"/>
                <w:szCs w:val="20"/>
                <w:highlight w:val="none"/>
              </w:rPr>
              <w:t>航模电池</w:t>
            </w:r>
          </w:p>
        </w:tc>
        <w:tc>
          <w:tcPr>
            <w:tcW w:w="3430" w:type="dxa"/>
            <w:vAlign w:val="bottom"/>
          </w:tcPr>
          <w:p>
            <w:pPr>
              <w:pStyle w:val="104"/>
              <w:rPr>
                <w:rFonts w:cs="思源黑体 CN Regular"/>
                <w:sz w:val="20"/>
                <w:szCs w:val="20"/>
                <w:highlight w:val="none"/>
              </w:rPr>
            </w:pPr>
            <w:r>
              <w:rPr>
                <w:rFonts w:hint="eastAsia" w:cs="思源黑体 CN Regular"/>
                <w:sz w:val="20"/>
                <w:szCs w:val="20"/>
                <w:highlight w:val="none"/>
              </w:rPr>
              <w:t>3S航模电池</w:t>
            </w:r>
          </w:p>
          <w:p>
            <w:pPr>
              <w:pStyle w:val="104"/>
              <w:rPr>
                <w:rFonts w:cs="思源黑体 CN Regular"/>
                <w:sz w:val="20"/>
                <w:szCs w:val="20"/>
                <w:highlight w:val="none"/>
              </w:rPr>
            </w:pPr>
            <w:r>
              <w:rPr>
                <w:rFonts w:hint="eastAsia" w:cs="思源黑体 CN Regular"/>
                <w:sz w:val="20"/>
                <w:szCs w:val="20"/>
                <w:highlight w:val="none"/>
              </w:rPr>
              <w:t>电压</w:t>
            </w:r>
            <w:r>
              <w:rPr>
                <w:rFonts w:cs="思源黑体 CN Regular"/>
                <w:sz w:val="20"/>
                <w:szCs w:val="20"/>
                <w:highlight w:val="none"/>
              </w:rPr>
              <w:t>:11.1</w:t>
            </w:r>
            <w:r>
              <w:rPr>
                <w:rFonts w:hint="eastAsia" w:cs="思源黑体 CN Regular"/>
                <w:sz w:val="20"/>
                <w:szCs w:val="20"/>
                <w:highlight w:val="none"/>
              </w:rPr>
              <w:t>V</w:t>
            </w:r>
            <w:r>
              <w:rPr>
                <w:rFonts w:cs="思源黑体 CN Regular"/>
                <w:sz w:val="20"/>
                <w:szCs w:val="20"/>
                <w:highlight w:val="none"/>
              </w:rPr>
              <w:br w:type="textWrapping"/>
            </w:r>
            <w:r>
              <w:rPr>
                <w:rFonts w:hint="eastAsia" w:cs="思源黑体 CN Regular"/>
                <w:sz w:val="20"/>
                <w:szCs w:val="20"/>
                <w:highlight w:val="none"/>
              </w:rPr>
              <w:t>放电倍率：25-30c</w:t>
            </w:r>
            <w:r>
              <w:rPr>
                <w:rFonts w:cs="思源黑体 CN Regular"/>
                <w:sz w:val="20"/>
                <w:szCs w:val="20"/>
                <w:highlight w:val="none"/>
              </w:rPr>
              <w:br w:type="textWrapping"/>
            </w:r>
            <w:r>
              <w:rPr>
                <w:rFonts w:hint="eastAsia" w:cs="思源黑体 CN Regular"/>
                <w:sz w:val="20"/>
                <w:szCs w:val="20"/>
                <w:highlight w:val="none"/>
              </w:rPr>
              <w:t>电池容量：4</w:t>
            </w:r>
            <w:r>
              <w:rPr>
                <w:rFonts w:cs="思源黑体 CN Regular"/>
                <w:sz w:val="20"/>
                <w:szCs w:val="20"/>
                <w:highlight w:val="none"/>
              </w:rPr>
              <w:t>200</w:t>
            </w:r>
            <w:r>
              <w:rPr>
                <w:rFonts w:hint="eastAsia" w:cs="思源黑体 CN Regular"/>
                <w:sz w:val="20"/>
                <w:szCs w:val="20"/>
                <w:highlight w:val="none"/>
              </w:rPr>
              <w:t>mAh</w:t>
            </w:r>
          </w:p>
        </w:tc>
        <w:tc>
          <w:tcPr>
            <w:tcW w:w="2058" w:type="dxa"/>
            <w:vAlign w:val="center"/>
          </w:tcPr>
          <w:p>
            <w:pPr>
              <w:pStyle w:val="104"/>
              <w:jc w:val="center"/>
              <w:rPr>
                <w:rFonts w:cs="思源黑体 CN Regular"/>
                <w:sz w:val="20"/>
                <w:szCs w:val="20"/>
                <w:highlight w:val="none"/>
              </w:rPr>
            </w:pPr>
          </w:p>
        </w:tc>
      </w:tr>
      <w:bookmarkEnd w:id="2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1472" w:type="dxa"/>
            <w:vAlign w:val="center"/>
          </w:tcPr>
          <w:p>
            <w:pPr>
              <w:pStyle w:val="104"/>
              <w:jc w:val="center"/>
              <w:rPr>
                <w:rFonts w:cs="思源黑体 CN Regular"/>
                <w:sz w:val="20"/>
                <w:szCs w:val="20"/>
                <w:highlight w:val="none"/>
              </w:rPr>
            </w:pPr>
            <w:r>
              <w:rPr>
                <w:rFonts w:hint="eastAsia" w:cs="思源黑体 CN Regular"/>
                <w:sz w:val="20"/>
                <w:szCs w:val="20"/>
                <w:highlight w:val="none"/>
              </w:rPr>
              <w:t>主控系统</w:t>
            </w:r>
          </w:p>
        </w:tc>
        <w:tc>
          <w:tcPr>
            <w:tcW w:w="1562" w:type="dxa"/>
            <w:vAlign w:val="center"/>
          </w:tcPr>
          <w:p>
            <w:pPr>
              <w:pStyle w:val="104"/>
              <w:jc w:val="center"/>
              <w:rPr>
                <w:rFonts w:cs="思源黑体 CN Regular"/>
                <w:sz w:val="20"/>
                <w:szCs w:val="20"/>
                <w:highlight w:val="none"/>
              </w:rPr>
            </w:pPr>
            <w:r>
              <w:rPr>
                <w:rFonts w:hint="eastAsia" w:cs="思源黑体 CN Regular"/>
                <w:sz w:val="20"/>
                <w:szCs w:val="20"/>
                <w:highlight w:val="none"/>
              </w:rPr>
              <w:t>主控</w:t>
            </w:r>
          </w:p>
        </w:tc>
        <w:tc>
          <w:tcPr>
            <w:tcW w:w="3430" w:type="dxa"/>
            <w:vAlign w:val="bottom"/>
          </w:tcPr>
          <w:p>
            <w:pPr>
              <w:pStyle w:val="104"/>
              <w:rPr>
                <w:rFonts w:cs="思源黑体 CN Regular"/>
                <w:sz w:val="20"/>
                <w:szCs w:val="20"/>
                <w:highlight w:val="none"/>
              </w:rPr>
            </w:pPr>
            <w:r>
              <w:rPr>
                <w:rFonts w:hint="eastAsia" w:cs="思源黑体 CN Regular"/>
                <w:sz w:val="20"/>
                <w:szCs w:val="20"/>
                <w:highlight w:val="none"/>
              </w:rPr>
              <w:t>处理器：高性能M7处理器ATSAMS70N20A-ANSTM32F030CCT6协处理器</w:t>
            </w:r>
          </w:p>
          <w:p>
            <w:pPr>
              <w:pStyle w:val="104"/>
              <w:rPr>
                <w:rFonts w:cs="思源黑体 CN Regular"/>
                <w:sz w:val="20"/>
                <w:szCs w:val="20"/>
                <w:highlight w:val="none"/>
              </w:rPr>
            </w:pPr>
            <w:r>
              <w:rPr>
                <w:rFonts w:hint="eastAsia" w:cs="思源黑体 CN Regular"/>
                <w:sz w:val="20"/>
                <w:szCs w:val="20"/>
                <w:highlight w:val="none"/>
              </w:rPr>
              <w:t>工作电压：6V ~ 13V（若使用电机时，输入最低电压必须满足电机工作电压要求）</w:t>
            </w:r>
          </w:p>
          <w:p>
            <w:pPr>
              <w:pStyle w:val="104"/>
              <w:rPr>
                <w:rFonts w:cs="思源黑体 CN Regular"/>
                <w:sz w:val="20"/>
                <w:szCs w:val="20"/>
                <w:highlight w:val="none"/>
              </w:rPr>
            </w:pPr>
            <w:r>
              <w:rPr>
                <w:rFonts w:hint="eastAsia" w:cs="思源黑体 CN Regular"/>
                <w:sz w:val="20"/>
                <w:szCs w:val="20"/>
                <w:highlight w:val="none"/>
              </w:rPr>
              <w:t>通讯端口及协议：串口/mBuild 协议</w:t>
            </w:r>
          </w:p>
        </w:tc>
        <w:tc>
          <w:tcPr>
            <w:tcW w:w="2058" w:type="dxa"/>
            <w:vAlign w:val="center"/>
          </w:tcPr>
          <w:p>
            <w:pPr>
              <w:pStyle w:val="104"/>
              <w:jc w:val="center"/>
              <w:rPr>
                <w:rFonts w:cs="思源黑体 CN Regular"/>
                <w:sz w:val="20"/>
                <w:szCs w:val="20"/>
                <w:highlight w:val="none"/>
              </w:rPr>
            </w:pPr>
            <w:r>
              <w:rPr>
                <w:rFonts w:hint="eastAsia" w:cs="思源黑体 CN Regular"/>
                <w:sz w:val="20"/>
                <w:szCs w:val="20"/>
                <w:highlight w:val="none"/>
              </w:rPr>
              <w:t>同时可使用Raspberry Pi 3 Model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vAlign w:val="center"/>
          </w:tcPr>
          <w:p>
            <w:pPr>
              <w:pStyle w:val="104"/>
              <w:jc w:val="center"/>
              <w:rPr>
                <w:rFonts w:cs="思源黑体 CN Regular"/>
                <w:sz w:val="20"/>
                <w:szCs w:val="20"/>
                <w:highlight w:val="none"/>
              </w:rPr>
            </w:pPr>
            <w:r>
              <w:rPr>
                <w:rFonts w:hint="eastAsia" w:cs="思源黑体 CN Regular"/>
                <w:sz w:val="20"/>
                <w:szCs w:val="20"/>
                <w:highlight w:val="none"/>
              </w:rPr>
              <w:t>传感器系统</w:t>
            </w:r>
          </w:p>
        </w:tc>
        <w:tc>
          <w:tcPr>
            <w:tcW w:w="1562" w:type="dxa"/>
            <w:vAlign w:val="center"/>
          </w:tcPr>
          <w:p>
            <w:pPr>
              <w:pStyle w:val="104"/>
              <w:jc w:val="center"/>
              <w:rPr>
                <w:rFonts w:cs="思源黑体 CN Regular"/>
                <w:sz w:val="20"/>
                <w:szCs w:val="20"/>
                <w:highlight w:val="none"/>
              </w:rPr>
            </w:pPr>
            <w:r>
              <w:rPr>
                <w:rFonts w:hint="eastAsia" w:cs="思源黑体 CN Regular"/>
                <w:sz w:val="20"/>
                <w:szCs w:val="20"/>
                <w:highlight w:val="none"/>
              </w:rPr>
              <w:t>视觉传感器</w:t>
            </w:r>
          </w:p>
        </w:tc>
        <w:tc>
          <w:tcPr>
            <w:tcW w:w="3430" w:type="dxa"/>
            <w:vAlign w:val="bottom"/>
          </w:tcPr>
          <w:p>
            <w:pPr>
              <w:pStyle w:val="104"/>
              <w:rPr>
                <w:rFonts w:cs="思源黑体 CN Regular"/>
                <w:sz w:val="20"/>
                <w:szCs w:val="20"/>
                <w:highlight w:val="none"/>
              </w:rPr>
            </w:pPr>
            <w:r>
              <w:rPr>
                <w:rFonts w:hint="eastAsia" w:cs="思源黑体 CN Regular"/>
                <w:sz w:val="20"/>
                <w:szCs w:val="20"/>
                <w:highlight w:val="none"/>
              </w:rPr>
              <w:t>视场角：65.0度</w:t>
            </w:r>
          </w:p>
          <w:p>
            <w:pPr>
              <w:pStyle w:val="104"/>
              <w:rPr>
                <w:rFonts w:cs="思源黑体 CN Regular"/>
                <w:sz w:val="20"/>
                <w:szCs w:val="20"/>
                <w:highlight w:val="none"/>
              </w:rPr>
            </w:pPr>
            <w:r>
              <w:rPr>
                <w:rFonts w:hint="eastAsia" w:cs="思源黑体 CN Regular"/>
                <w:sz w:val="20"/>
                <w:szCs w:val="20"/>
                <w:highlight w:val="none"/>
              </w:rPr>
              <w:t>有效焦距：4.65±5% mm</w:t>
            </w:r>
          </w:p>
          <w:p>
            <w:pPr>
              <w:pStyle w:val="104"/>
              <w:rPr>
                <w:rFonts w:cs="思源黑体 CN Regular"/>
                <w:sz w:val="20"/>
                <w:szCs w:val="20"/>
                <w:highlight w:val="none"/>
              </w:rPr>
            </w:pPr>
            <w:r>
              <w:rPr>
                <w:rFonts w:hint="eastAsia" w:cs="思源黑体 CN Regular"/>
                <w:sz w:val="20"/>
                <w:szCs w:val="20"/>
                <w:highlight w:val="none"/>
              </w:rPr>
              <w:t>识别速度：60帧/s</w:t>
            </w:r>
          </w:p>
          <w:p>
            <w:pPr>
              <w:pStyle w:val="104"/>
              <w:rPr>
                <w:rFonts w:cs="思源黑体 CN Regular"/>
                <w:sz w:val="20"/>
                <w:szCs w:val="20"/>
                <w:highlight w:val="none"/>
              </w:rPr>
            </w:pPr>
            <w:r>
              <w:rPr>
                <w:rFonts w:hint="eastAsia" w:cs="思源黑体 CN Regular"/>
                <w:sz w:val="20"/>
                <w:szCs w:val="20"/>
                <w:highlight w:val="none"/>
              </w:rPr>
              <w:t>识别距离：0.25-1.2m范围最佳</w:t>
            </w:r>
          </w:p>
          <w:p>
            <w:pPr>
              <w:pStyle w:val="104"/>
              <w:rPr>
                <w:rFonts w:cs="思源黑体 CN Regular"/>
                <w:sz w:val="20"/>
                <w:szCs w:val="20"/>
                <w:highlight w:val="none"/>
              </w:rPr>
            </w:pPr>
            <w:r>
              <w:rPr>
                <w:rFonts w:hint="eastAsia" w:cs="思源黑体 CN Regular"/>
                <w:sz w:val="20"/>
                <w:szCs w:val="20"/>
                <w:highlight w:val="none"/>
              </w:rPr>
              <w:t>供电方式：3.7V锂电池 或 5V mBuild 电源模块</w:t>
            </w:r>
          </w:p>
          <w:p>
            <w:pPr>
              <w:pStyle w:val="104"/>
              <w:rPr>
                <w:rFonts w:cs="思源黑体 CN Regular"/>
                <w:sz w:val="20"/>
                <w:szCs w:val="20"/>
                <w:highlight w:val="none"/>
              </w:rPr>
            </w:pPr>
            <w:r>
              <w:rPr>
                <w:rFonts w:hint="eastAsia" w:cs="思源黑体 CN Regular"/>
                <w:sz w:val="20"/>
                <w:szCs w:val="20"/>
                <w:highlight w:val="none"/>
              </w:rPr>
              <w:t>功耗范围：0.9-1.3W</w:t>
            </w:r>
          </w:p>
        </w:tc>
        <w:tc>
          <w:tcPr>
            <w:tcW w:w="2058" w:type="dxa"/>
            <w:vAlign w:val="center"/>
          </w:tcPr>
          <w:p>
            <w:pPr>
              <w:pStyle w:val="104"/>
              <w:jc w:val="center"/>
              <w:rPr>
                <w:rFonts w:cs="思源黑体 CN Regular"/>
                <w:sz w:val="20"/>
                <w:szCs w:val="20"/>
                <w:highlight w:val="none"/>
              </w:rPr>
            </w:pPr>
            <w:r>
              <w:rPr>
                <w:rFonts w:hint="eastAsia" w:cs="思源黑体 CN Regular"/>
                <w:sz w:val="20"/>
                <w:szCs w:val="20"/>
                <w:highlight w:val="none"/>
              </w:rPr>
              <w:t>类型和数量不限</w:t>
            </w:r>
          </w:p>
          <w:p>
            <w:pPr>
              <w:pStyle w:val="104"/>
              <w:jc w:val="center"/>
              <w:rPr>
                <w:rFonts w:cs="思源黑体 CN Regular"/>
                <w:sz w:val="20"/>
                <w:szCs w:val="20"/>
                <w:highlight w:val="none"/>
              </w:rPr>
            </w:pPr>
            <w:r>
              <w:rPr>
                <w:rFonts w:hint="eastAsia" w:cs="思源黑体 CN Regular"/>
                <w:sz w:val="20"/>
                <w:szCs w:val="20"/>
                <w:highlight w:val="none"/>
              </w:rPr>
              <w:t>机器人禁止使用任何可干扰到其它机器人感知能力的传感器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5" w:hRule="atLeast"/>
        </w:trPr>
        <w:tc>
          <w:tcPr>
            <w:tcW w:w="1472" w:type="dxa"/>
            <w:vMerge w:val="restart"/>
            <w:vAlign w:val="center"/>
          </w:tcPr>
          <w:p>
            <w:pPr>
              <w:widowControl/>
              <w:jc w:val="center"/>
              <w:rPr>
                <w:rFonts w:cs="思源黑体 CN Regular"/>
                <w:szCs w:val="20"/>
                <w:highlight w:val="none"/>
              </w:rPr>
            </w:pPr>
            <w:r>
              <w:rPr>
                <w:rFonts w:hint="eastAsia" w:cs="思源黑体 CN Regular"/>
                <w:kern w:val="0"/>
                <w:szCs w:val="20"/>
                <w:highlight w:val="none"/>
                <w:lang w:bidi="ar"/>
              </w:rPr>
              <w:t>无线控制系统</w:t>
            </w:r>
          </w:p>
        </w:tc>
        <w:tc>
          <w:tcPr>
            <w:tcW w:w="1562" w:type="dxa"/>
            <w:vAlign w:val="center"/>
          </w:tcPr>
          <w:p>
            <w:pPr>
              <w:widowControl/>
              <w:jc w:val="center"/>
              <w:rPr>
                <w:rFonts w:cs="思源黑体 CN Regular"/>
                <w:szCs w:val="20"/>
                <w:highlight w:val="none"/>
              </w:rPr>
            </w:pPr>
            <w:r>
              <w:rPr>
                <w:rFonts w:hint="eastAsia" w:cs="思源黑体 CN Regular"/>
                <w:kern w:val="0"/>
                <w:szCs w:val="20"/>
                <w:highlight w:val="none"/>
                <w:lang w:bidi="ar"/>
              </w:rPr>
              <w:t>蓝牙手柄</w:t>
            </w:r>
          </w:p>
        </w:tc>
        <w:tc>
          <w:tcPr>
            <w:tcW w:w="3430" w:type="dxa"/>
            <w:vAlign w:val="bottom"/>
          </w:tcPr>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蓝牙版本：支持4.0+</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传输距离：20m</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工作电流： ≤25mA</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发射功率：4dBm</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传输数据：100ms 之内数据包能够被蓝牙设备获取 (低延迟)</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电池：两节5号 AA 干电池</w:t>
            </w:r>
          </w:p>
          <w:p>
            <w:pPr>
              <w:widowControl/>
              <w:numPr>
                <w:ilvl w:val="0"/>
                <w:numId w:val="15"/>
              </w:numPr>
              <w:spacing w:beforeAutospacing="1" w:afterAutospacing="1"/>
              <w:rPr>
                <w:rFonts w:cs="思源黑体 CN Regular"/>
                <w:szCs w:val="20"/>
                <w:highlight w:val="none"/>
              </w:rPr>
            </w:pPr>
            <w:r>
              <w:rPr>
                <w:rFonts w:hint="eastAsia" w:cs="思源黑体 CN Regular"/>
                <w:szCs w:val="20"/>
                <w:highlight w:val="none"/>
              </w:rPr>
              <w:t>支持平台：macOS / Windows</w:t>
            </w:r>
          </w:p>
        </w:tc>
        <w:tc>
          <w:tcPr>
            <w:tcW w:w="2058" w:type="dxa"/>
            <w:vAlign w:val="center"/>
          </w:tcPr>
          <w:p>
            <w:pPr>
              <w:widowControl/>
              <w:numPr>
                <w:ilvl w:val="0"/>
                <w:numId w:val="16"/>
              </w:numPr>
              <w:spacing w:beforeAutospacing="1" w:afterAutospacing="1"/>
              <w:jc w:val="center"/>
              <w:rPr>
                <w:rFonts w:cs="思源黑体 CN Regular"/>
                <w:szCs w:val="20"/>
                <w:highlight w:val="none"/>
              </w:rPr>
            </w:pPr>
            <w:r>
              <w:rPr>
                <w:rFonts w:hint="eastAsia" w:cs="思源黑体 CN Regular"/>
                <w:szCs w:val="20"/>
                <w:highlight w:val="none"/>
              </w:rPr>
              <w:t>在比赛时，一个队伍仅能使用1台蓝牙手柄；</w:t>
            </w:r>
          </w:p>
          <w:p>
            <w:pPr>
              <w:widowControl/>
              <w:numPr>
                <w:ilvl w:val="0"/>
                <w:numId w:val="16"/>
              </w:numPr>
              <w:spacing w:beforeAutospacing="1" w:afterAutospacing="1"/>
              <w:jc w:val="center"/>
              <w:rPr>
                <w:rFonts w:cs="思源黑体 CN Regular"/>
                <w:szCs w:val="20"/>
                <w:highlight w:val="none"/>
              </w:rPr>
            </w:pPr>
            <w:r>
              <w:rPr>
                <w:rFonts w:hint="eastAsia" w:cs="思源黑体 CN Regular"/>
                <w:szCs w:val="20"/>
                <w:highlight w:val="none"/>
              </w:rPr>
              <w:t>蓝牙模块须连接在Nova Pi主控上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vMerge w:val="continue"/>
          </w:tcPr>
          <w:p>
            <w:pPr>
              <w:pStyle w:val="35"/>
              <w:numPr>
                <w:ilvl w:val="0"/>
                <w:numId w:val="0"/>
              </w:numPr>
              <w:jc w:val="center"/>
              <w:rPr>
                <w:rFonts w:ascii="思源黑体 CN Regular" w:hAnsi="思源黑体 CN Regular" w:eastAsia="思源黑体 CN Regular" w:cs="思源黑体 CN Regular"/>
                <w:sz w:val="20"/>
                <w:szCs w:val="20"/>
                <w:highlight w:val="none"/>
              </w:rPr>
            </w:pPr>
          </w:p>
        </w:tc>
        <w:tc>
          <w:tcPr>
            <w:tcW w:w="1562" w:type="dxa"/>
            <w:vAlign w:val="center"/>
          </w:tcPr>
          <w:p>
            <w:pPr>
              <w:widowControl/>
              <w:jc w:val="center"/>
              <w:rPr>
                <w:rFonts w:cs="思源黑体 CN Regular"/>
                <w:szCs w:val="20"/>
                <w:highlight w:val="none"/>
              </w:rPr>
            </w:pPr>
            <w:r>
              <w:rPr>
                <w:rFonts w:hint="eastAsia" w:cs="思源黑体 CN Regular"/>
                <w:kern w:val="0"/>
                <w:szCs w:val="20"/>
                <w:highlight w:val="none"/>
                <w:lang w:bidi="ar"/>
              </w:rPr>
              <w:t>蓝牙模块</w:t>
            </w:r>
          </w:p>
        </w:tc>
        <w:tc>
          <w:tcPr>
            <w:tcW w:w="3430" w:type="dxa"/>
            <w:vAlign w:val="bottom"/>
          </w:tcPr>
          <w:p>
            <w:pPr>
              <w:widowControl/>
              <w:numPr>
                <w:ilvl w:val="0"/>
                <w:numId w:val="17"/>
              </w:numPr>
              <w:spacing w:beforeAutospacing="1" w:afterAutospacing="1"/>
              <w:rPr>
                <w:rFonts w:cs="思源黑体 CN Regular"/>
                <w:szCs w:val="20"/>
                <w:highlight w:val="none"/>
              </w:rPr>
            </w:pPr>
            <w:r>
              <w:rPr>
                <w:rFonts w:hint="eastAsia" w:cs="思源黑体 CN Regular"/>
                <w:szCs w:val="20"/>
                <w:highlight w:val="none"/>
              </w:rPr>
              <w:t>蓝牙版本：BT4.0</w:t>
            </w:r>
          </w:p>
          <w:p>
            <w:pPr>
              <w:widowControl/>
              <w:numPr>
                <w:ilvl w:val="0"/>
                <w:numId w:val="17"/>
              </w:numPr>
              <w:spacing w:beforeAutospacing="1" w:afterAutospacing="1"/>
              <w:rPr>
                <w:rFonts w:cs="思源黑体 CN Regular"/>
                <w:szCs w:val="20"/>
                <w:highlight w:val="none"/>
              </w:rPr>
            </w:pPr>
            <w:r>
              <w:rPr>
                <w:rFonts w:hint="eastAsia" w:cs="思源黑体 CN Regular"/>
                <w:szCs w:val="20"/>
                <w:highlight w:val="none"/>
              </w:rPr>
              <w:t>频带范围：2402~2480MHz</w:t>
            </w:r>
          </w:p>
          <w:p>
            <w:pPr>
              <w:widowControl/>
              <w:numPr>
                <w:ilvl w:val="0"/>
                <w:numId w:val="17"/>
              </w:numPr>
              <w:spacing w:beforeAutospacing="1" w:afterAutospacing="1"/>
              <w:rPr>
                <w:rFonts w:cs="思源黑体 CN Regular"/>
                <w:szCs w:val="20"/>
                <w:highlight w:val="none"/>
              </w:rPr>
            </w:pPr>
            <w:r>
              <w:rPr>
                <w:rFonts w:hint="eastAsia" w:cs="思源黑体 CN Regular"/>
                <w:szCs w:val="20"/>
                <w:highlight w:val="none"/>
              </w:rPr>
              <w:t>天线增益：1.5dBi</w:t>
            </w:r>
          </w:p>
          <w:p>
            <w:pPr>
              <w:widowControl/>
              <w:numPr>
                <w:ilvl w:val="0"/>
                <w:numId w:val="17"/>
              </w:numPr>
              <w:spacing w:beforeAutospacing="1" w:afterAutospacing="1"/>
              <w:rPr>
                <w:rFonts w:cs="思源黑体 CN Regular"/>
                <w:szCs w:val="20"/>
                <w:highlight w:val="none"/>
              </w:rPr>
            </w:pPr>
            <w:r>
              <w:rPr>
                <w:rFonts w:hint="eastAsia" w:cs="思源黑体 CN Regular"/>
                <w:szCs w:val="20"/>
                <w:highlight w:val="none"/>
              </w:rPr>
              <w:t>能耗等级：≤4dBm</w:t>
            </w:r>
          </w:p>
          <w:p>
            <w:pPr>
              <w:widowControl/>
              <w:numPr>
                <w:ilvl w:val="0"/>
                <w:numId w:val="17"/>
              </w:numPr>
              <w:spacing w:beforeAutospacing="1" w:afterAutospacing="1"/>
              <w:rPr>
                <w:rFonts w:cs="思源黑体 CN Regular"/>
                <w:szCs w:val="20"/>
                <w:highlight w:val="none"/>
              </w:rPr>
            </w:pPr>
            <w:r>
              <w:rPr>
                <w:rFonts w:hint="eastAsia" w:cs="思源黑体 CN Regular"/>
                <w:szCs w:val="20"/>
                <w:highlight w:val="none"/>
              </w:rPr>
              <w:t>工作电流：15mA</w:t>
            </w:r>
          </w:p>
        </w:tc>
        <w:tc>
          <w:tcPr>
            <w:tcW w:w="2058" w:type="dxa"/>
            <w:vAlign w:val="center"/>
          </w:tcPr>
          <w:p>
            <w:pPr>
              <w:widowControl/>
              <w:jc w:val="center"/>
              <w:rPr>
                <w:rFonts w:cs="思源黑体 CN Regular"/>
                <w:szCs w:val="20"/>
                <w:highlight w:val="none"/>
              </w:rPr>
            </w:pPr>
            <w:r>
              <w:rPr>
                <w:rFonts w:hint="eastAsia" w:cs="思源黑体 CN Regular"/>
                <w:kern w:val="0"/>
                <w:szCs w:val="20"/>
                <w:highlight w:val="none"/>
                <w:lang w:bidi="ar"/>
              </w:rPr>
              <w:t>禁止使用除官方配备的蓝牙手柄以外任何形式的无线控制与机器人进行通信，包括但不限于任何人为触发的传感器</w:t>
            </w:r>
          </w:p>
        </w:tc>
      </w:tr>
    </w:tbl>
    <w:p>
      <w:pPr>
        <w:pStyle w:val="35"/>
        <w:numPr>
          <w:ilvl w:val="0"/>
          <w:numId w:val="0"/>
        </w:numPr>
        <w:rPr>
          <w:highlight w:val="none"/>
        </w:rPr>
      </w:pPr>
    </w:p>
    <w:p>
      <w:pPr>
        <w:pStyle w:val="34"/>
        <w:ind w:firstLine="480"/>
        <w:rPr>
          <w:highlight w:val="none"/>
        </w:rPr>
      </w:pPr>
      <w:r>
        <w:rPr>
          <w:highlight w:val="none"/>
          <w:lang w:val="en-US"/>
        </w:rPr>
        <w:t xml:space="preserve">除电机及主控本身自带的蜂鸣器除外，机器人不允许使用任何电子发声器件。除符合技术规范的主控与传感器的自带指示灯光、配合传感器使用的光源和符合技术规范的激光瞄准装置外，机器人不得加装其他光源。 </w:t>
      </w:r>
    </w:p>
    <w:p>
      <w:pPr>
        <w:pStyle w:val="34"/>
        <w:ind w:firstLine="480"/>
        <w:rPr>
          <w:rFonts w:hint="eastAsia"/>
          <w:highlight w:val="none"/>
        </w:rPr>
      </w:pPr>
      <w:r>
        <w:rPr>
          <w:highlight w:val="none"/>
          <w:lang w:val="en-US"/>
        </w:rPr>
        <w:t>参赛战队可自行定制或采购机械零件。可以使用低集成度的完整商业产品组件，如：铰链、链轮和滚子链、滑轮等。不允许使用高集成度的完整商业产品，包括但不限于多自由度机械臂或机械手等。</w:t>
      </w:r>
    </w:p>
    <w:p>
      <w:pPr>
        <w:pStyle w:val="86"/>
        <w:rPr>
          <w:highlight w:val="none"/>
        </w:rPr>
      </w:pPr>
      <w:bookmarkStart w:id="28" w:name="_Toc24228"/>
      <w:bookmarkStart w:id="29" w:name="_Toc447064019"/>
      <w:bookmarkStart w:id="30" w:name="_Toc974356698_WPSOffice_Level2"/>
      <w:r>
        <w:rPr>
          <w:rFonts w:hint="eastAsia"/>
          <w:highlight w:val="none"/>
        </w:rPr>
        <w:t>队旗制作规范</w:t>
      </w:r>
      <w:bookmarkEnd w:id="28"/>
      <w:bookmarkEnd w:id="29"/>
      <w:bookmarkEnd w:id="30"/>
    </w:p>
    <w:p>
      <w:pPr>
        <w:pStyle w:val="34"/>
        <w:ind w:firstLine="480"/>
        <w:rPr>
          <w:highlight w:val="none"/>
        </w:rPr>
      </w:pPr>
      <w:r>
        <w:rPr>
          <w:rFonts w:hint="eastAsia"/>
          <w:highlight w:val="none"/>
          <w:lang w:val="en-US"/>
        </w:rPr>
        <w:t>队旗制作规范如下：</w:t>
      </w:r>
    </w:p>
    <w:p>
      <w:pPr>
        <w:pStyle w:val="34"/>
        <w:numPr>
          <w:ilvl w:val="0"/>
          <w:numId w:val="0"/>
        </w:numPr>
        <w:spacing w:line="240" w:lineRule="auto"/>
        <w:ind w:left="851"/>
        <w:jc w:val="center"/>
        <w:rPr>
          <w:highlight w:val="none"/>
        </w:rPr>
      </w:pPr>
      <w:r>
        <w:rPr>
          <w:rFonts w:hint="eastAsia"/>
          <w:highlight w:val="none"/>
        </w:rPr>
        <w:drawing>
          <wp:inline distT="0" distB="0" distL="114300" distR="114300">
            <wp:extent cx="2241550" cy="2047875"/>
            <wp:effectExtent l="0" t="0" r="19050" b="0"/>
            <wp:docPr id="32" name="图片 32" descr="E:\我的坚果云\A3-MakeX_设计文件_2022\A1-2022赛事规则配图\A2-2022赛季MakeX Challenge能源革新\编辑文件\4x\资源 123@4x.png资源 123@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E:\我的坚果云\A3-MakeX_设计文件_2022\A1-2022赛事规则配图\A2-2022赛季MakeX Challenge能源革新\编辑文件\4x\资源 123@4x.png资源 123@4x"/>
                    <pic:cNvPicPr>
                      <a:picLocks noChangeAspect="1"/>
                    </pic:cNvPicPr>
                  </pic:nvPicPr>
                  <pic:blipFill>
                    <a:blip r:embed="rId34"/>
                    <a:srcRect/>
                    <a:stretch>
                      <a:fillRect/>
                    </a:stretch>
                  </pic:blipFill>
                  <pic:spPr>
                    <a:xfrm>
                      <a:off x="0" y="0"/>
                      <a:ext cx="2241550" cy="2047875"/>
                    </a:xfrm>
                    <a:prstGeom prst="rect">
                      <a:avLst/>
                    </a:prstGeom>
                  </pic:spPr>
                </pic:pic>
              </a:graphicData>
            </a:graphic>
          </wp:inline>
        </w:drawing>
      </w:r>
    </w:p>
    <w:p>
      <w:pPr>
        <w:pStyle w:val="16"/>
        <w:jc w:val="center"/>
        <w:rPr>
          <w:highlight w:val="none"/>
        </w:rPr>
      </w:pPr>
      <w:bookmarkStart w:id="31" w:name="_Toc49"/>
      <w:r>
        <w:rPr>
          <w:highlight w:val="none"/>
        </w:rPr>
        <w:t>队旗制作尺寸图</w:t>
      </w:r>
      <w:bookmarkEnd w:id="31"/>
      <w:bookmarkStart w:id="32" w:name="_Hlk90398972"/>
    </w:p>
    <w:p>
      <w:pPr>
        <w:pStyle w:val="27"/>
        <w:numPr>
          <w:ilvl w:val="0"/>
          <w:numId w:val="18"/>
        </w:numPr>
        <w:ind w:left="840" w:firstLine="480"/>
        <w:rPr>
          <w:highlight w:val="none"/>
        </w:rPr>
      </w:pPr>
      <w:r>
        <w:rPr>
          <w:rFonts w:hint="eastAsia"/>
          <w:highlight w:val="none"/>
        </w:rPr>
        <w:t>队旗须由旗帜旗面、悬挂组件组成，队旗所有材质必须为柔性材料，可用布面、纸质或其它柔性材料制作；旗帜的悬挂组件禁止使用磁性材料。</w:t>
      </w:r>
    </w:p>
    <w:p>
      <w:pPr>
        <w:pStyle w:val="27"/>
        <w:numPr>
          <w:ilvl w:val="0"/>
          <w:numId w:val="18"/>
        </w:numPr>
        <w:ind w:left="840" w:firstLine="480"/>
        <w:rPr>
          <w:highlight w:val="none"/>
        </w:rPr>
      </w:pPr>
      <w:r>
        <w:rPr>
          <w:rFonts w:hint="eastAsia"/>
          <w:highlight w:val="none"/>
        </w:rPr>
        <w:t>旗帜旗面须为尺寸不小于400mm（长）*300mm（宽），在比赛过程中必须处于展开状态。</w:t>
      </w:r>
    </w:p>
    <w:p>
      <w:pPr>
        <w:pStyle w:val="27"/>
        <w:numPr>
          <w:ilvl w:val="0"/>
          <w:numId w:val="18"/>
        </w:numPr>
        <w:ind w:left="840" w:firstLine="480"/>
        <w:rPr>
          <w:highlight w:val="none"/>
        </w:rPr>
      </w:pPr>
      <w:r>
        <w:rPr>
          <w:highlight w:val="none"/>
        </w:rPr>
        <w:t>每支队伍</w:t>
      </w:r>
      <w:r>
        <w:rPr>
          <w:rFonts w:hint="eastAsia"/>
          <w:highlight w:val="none"/>
        </w:rPr>
        <w:t>仅可</w:t>
      </w:r>
      <w:r>
        <w:rPr>
          <w:highlight w:val="none"/>
        </w:rPr>
        <w:t>使用</w:t>
      </w:r>
      <w:r>
        <w:rPr>
          <w:rFonts w:hint="eastAsia"/>
          <w:highlight w:val="none"/>
        </w:rPr>
        <w:t>1</w:t>
      </w:r>
      <w:r>
        <w:rPr>
          <w:highlight w:val="none"/>
        </w:rPr>
        <w:t xml:space="preserve">面旗帜。 </w:t>
      </w:r>
    </w:p>
    <w:p>
      <w:pPr>
        <w:pStyle w:val="27"/>
        <w:numPr>
          <w:ilvl w:val="0"/>
          <w:numId w:val="18"/>
        </w:numPr>
        <w:ind w:left="840" w:firstLine="480"/>
        <w:rPr>
          <w:rFonts w:hint="eastAsia"/>
          <w:highlight w:val="none"/>
        </w:rPr>
      </w:pPr>
      <w:r>
        <w:rPr>
          <w:rFonts w:hint="eastAsia"/>
          <w:highlight w:val="none"/>
          <w:lang w:eastAsia="zh-Hans"/>
        </w:rPr>
        <w:t>组委会</w:t>
      </w:r>
      <w:r>
        <w:rPr>
          <w:highlight w:val="none"/>
        </w:rPr>
        <w:t>鼓励参赛队在旗帜上绘制个性化的图案或文字，但是须积</w:t>
      </w:r>
      <w:bookmarkEnd w:id="32"/>
      <w:r>
        <w:rPr>
          <w:highlight w:val="none"/>
        </w:rPr>
        <w:t>极向上、能够体现赛事精神、不得出现</w:t>
      </w:r>
      <w:r>
        <w:rPr>
          <w:rFonts w:hint="eastAsia"/>
          <w:highlight w:val="none"/>
          <w:lang w:eastAsia="zh-Hans"/>
        </w:rPr>
        <w:t>“</w:t>
      </w:r>
      <w:r>
        <w:rPr>
          <w:highlight w:val="none"/>
        </w:rPr>
        <w:t>MakeX机器人挑战赛组委会</w:t>
      </w:r>
      <w:r>
        <w:rPr>
          <w:rFonts w:hint="eastAsia"/>
          <w:highlight w:val="none"/>
          <w:lang w:eastAsia="zh-Hans"/>
        </w:rPr>
        <w:t>”</w:t>
      </w:r>
      <w:r>
        <w:rPr>
          <w:highlight w:val="none"/>
        </w:rPr>
        <w:t>相关字样与图片。</w:t>
      </w:r>
    </w:p>
    <w:p>
      <w:pPr>
        <w:pStyle w:val="32"/>
        <w:spacing w:line="240" w:lineRule="auto"/>
        <w:rPr>
          <w:highlight w:val="none"/>
        </w:rPr>
      </w:pPr>
      <w:bookmarkStart w:id="33" w:name="_Toc1907170127"/>
      <w:bookmarkStart w:id="34" w:name="_Toc602438887_WPSOffice_Level1"/>
      <w:bookmarkStart w:id="35" w:name="_Toc2405"/>
      <w:r>
        <w:rPr>
          <w:rFonts w:hint="eastAsia"/>
          <w:highlight w:val="none"/>
        </w:rPr>
        <w:t>比赛规则</w:t>
      </w:r>
      <w:bookmarkEnd w:id="33"/>
      <w:bookmarkEnd w:id="34"/>
      <w:bookmarkEnd w:id="35"/>
    </w:p>
    <w:p>
      <w:pPr>
        <w:pStyle w:val="48"/>
        <w:rPr>
          <w:highlight w:val="none"/>
        </w:rPr>
      </w:pPr>
      <w:bookmarkStart w:id="36" w:name="_Toc1450214911_WPSOffice_Level2"/>
      <w:bookmarkStart w:id="37" w:name="_Toc467409367"/>
      <w:bookmarkStart w:id="38" w:name="_Toc8425"/>
      <w:r>
        <w:rPr>
          <w:rFonts w:hint="eastAsia"/>
          <w:highlight w:val="none"/>
        </w:rPr>
        <w:t>判罚说明</w:t>
      </w:r>
      <w:bookmarkEnd w:id="36"/>
      <w:bookmarkEnd w:id="37"/>
      <w:bookmarkEnd w:id="38"/>
    </w:p>
    <w:p>
      <w:pPr>
        <w:pStyle w:val="71"/>
        <w:rPr>
          <w:highlight w:val="none"/>
        </w:rPr>
      </w:pPr>
      <w:r>
        <w:rPr>
          <w:rFonts w:hint="eastAsia"/>
          <w:highlight w:val="none"/>
        </w:rPr>
        <w:t xml:space="preserve">口头警告 </w:t>
      </w:r>
    </w:p>
    <w:p>
      <w:pPr>
        <w:pStyle w:val="99"/>
        <w:ind w:left="0" w:firstLine="480" w:firstLineChars="200"/>
        <w:rPr>
          <w:highlight w:val="none"/>
        </w:rPr>
      </w:pPr>
      <w:r>
        <w:rPr>
          <w:rFonts w:hint="eastAsia"/>
          <w:highlight w:val="none"/>
        </w:rPr>
        <w:t>裁判对参赛联盟任一战队的第一次违例发出口头警告，要求参赛战队立即停止违反规则的行为并服从裁判指示。（单场比赛仅有一次被口头警告的机会）在此期间，不会扣分，比赛计时也不会停止。</w:t>
      </w:r>
      <w:r>
        <w:rPr>
          <w:highlight w:val="none"/>
        </w:rPr>
        <w:t xml:space="preserve"> </w:t>
      </w:r>
    </w:p>
    <w:p>
      <w:pPr>
        <w:pStyle w:val="71"/>
        <w:rPr>
          <w:highlight w:val="none"/>
        </w:rPr>
      </w:pPr>
      <w:r>
        <w:rPr>
          <w:rFonts w:hint="eastAsia"/>
          <w:highlight w:val="none"/>
        </w:rPr>
        <w:t xml:space="preserve">违例 </w:t>
      </w:r>
    </w:p>
    <w:p>
      <w:pPr>
        <w:pStyle w:val="99"/>
        <w:ind w:left="0" w:firstLine="480" w:firstLineChars="200"/>
        <w:rPr>
          <w:highlight w:val="none"/>
        </w:rPr>
      </w:pPr>
      <w:r>
        <w:rPr>
          <w:highlight w:val="none"/>
        </w:rPr>
        <w:t xml:space="preserve">裁判对参赛队发出违例判罚，立即扣除该方联盟20分，比赛计时不会停止。 </w:t>
      </w:r>
    </w:p>
    <w:p>
      <w:pPr>
        <w:pStyle w:val="71"/>
        <w:rPr>
          <w:highlight w:val="none"/>
        </w:rPr>
      </w:pPr>
      <w:r>
        <w:rPr>
          <w:rFonts w:hint="eastAsia"/>
          <w:highlight w:val="none"/>
        </w:rPr>
        <w:t xml:space="preserve">禁用 </w:t>
      </w:r>
    </w:p>
    <w:p>
      <w:pPr>
        <w:pStyle w:val="99"/>
        <w:ind w:left="0" w:firstLine="480" w:firstLineChars="200"/>
        <w:rPr>
          <w:highlight w:val="none"/>
        </w:rPr>
      </w:pPr>
      <w:r>
        <w:rPr>
          <w:highlight w:val="none"/>
        </w:rPr>
        <w:t xml:space="preserve">裁判对机器人发出禁用指令，要求该机器人立刻停止行动。裁判有权根据实际情况判断是否要将被禁用的机器人移出场外。在机器人故障、失控等情况发生时，参赛队员亦可以主动向裁判提出禁用机器人。 </w:t>
      </w:r>
    </w:p>
    <w:p>
      <w:pPr>
        <w:widowControl/>
        <w:jc w:val="left"/>
        <w:rPr>
          <w:rStyle w:val="82"/>
          <w:rFonts w:hint="eastAsia"/>
          <w:highlight w:val="none"/>
        </w:rPr>
      </w:pPr>
      <w:r>
        <w:rPr>
          <w:rFonts w:hint="eastAsia" w:ascii="思源黑体 CN Heavy" w:hAnsi="思源黑体 CN Heavy" w:eastAsia="思源黑体 CN Heavy" w:cs="微软雅黑"/>
          <w:b/>
          <w:color w:val="2E75B6" w:themeColor="accent1" w:themeShade="BF"/>
          <w:sz w:val="24"/>
          <w:szCs w:val="21"/>
          <w:highlight w:val="none"/>
        </w:rPr>
        <w:t>黄牌</w:t>
      </w:r>
      <w:r>
        <w:rPr>
          <w:rStyle w:val="82"/>
          <w:highlight w:val="none"/>
        </w:rPr>
        <w:t xml:space="preserve"> </w:t>
      </w:r>
    </w:p>
    <w:p>
      <w:pPr>
        <w:pStyle w:val="99"/>
        <w:ind w:left="0" w:firstLine="480" w:firstLineChars="200"/>
        <w:rPr>
          <w:highlight w:val="none"/>
        </w:rPr>
      </w:pPr>
      <w:r>
        <w:rPr>
          <w:highlight w:val="none"/>
        </w:rPr>
        <w:t xml:space="preserve">若某方相关人员的行为对当场比赛的公平性造成较为严重影响或违反安全原则，将受到扣除当场得分60分的处罚。 </w:t>
      </w:r>
    </w:p>
    <w:p>
      <w:pPr>
        <w:pStyle w:val="27"/>
        <w:ind w:firstLine="420" w:firstLineChars="0"/>
        <w:rPr>
          <w:highlight w:val="none"/>
        </w:rPr>
      </w:pPr>
      <w:r>
        <w:rPr>
          <w:highlight w:val="none"/>
        </w:rPr>
        <w:t xml:space="preserve">黄牌处罚累计说明： </w:t>
      </w:r>
    </w:p>
    <w:p>
      <w:pPr>
        <w:pStyle w:val="27"/>
        <w:ind w:firstLine="420" w:firstLineChars="0"/>
        <w:rPr>
          <w:highlight w:val="none"/>
        </w:rPr>
      </w:pPr>
      <w:r>
        <w:rPr>
          <w:highlight w:val="none"/>
        </w:rPr>
        <w:t xml:space="preserve">累计两张黄牌处罚升级为红牌，资格排位赛阶段结束后清零。 </w:t>
      </w:r>
    </w:p>
    <w:p>
      <w:pPr>
        <w:pStyle w:val="27"/>
        <w:ind w:firstLine="420" w:firstLineChars="0"/>
        <w:rPr>
          <w:highlight w:val="none"/>
        </w:rPr>
      </w:pPr>
      <w:r>
        <w:rPr>
          <w:highlight w:val="none"/>
        </w:rPr>
        <w:t>某战队或联盟收到黄牌后，扣除当场比赛该战队或该联盟60分。</w:t>
      </w:r>
    </w:p>
    <w:p>
      <w:pPr>
        <w:pStyle w:val="27"/>
        <w:ind w:firstLine="420" w:firstLineChars="0"/>
        <w:rPr>
          <w:rFonts w:hint="eastAsia"/>
          <w:highlight w:val="none"/>
        </w:rPr>
      </w:pPr>
      <w:r>
        <w:rPr>
          <w:rFonts w:hint="eastAsia"/>
          <w:highlight w:val="none"/>
        </w:rPr>
        <w:t>单场比赛中，累计</w:t>
      </w:r>
      <w:r>
        <w:rPr>
          <w:highlight w:val="none"/>
        </w:rPr>
        <w:t>2</w:t>
      </w:r>
      <w:r>
        <w:rPr>
          <w:rFonts w:hint="eastAsia"/>
          <w:highlight w:val="none"/>
        </w:rPr>
        <w:t>张黄牌处罚升级为</w:t>
      </w:r>
      <w:r>
        <w:rPr>
          <w:highlight w:val="none"/>
        </w:rPr>
        <w:t>1</w:t>
      </w:r>
      <w:r>
        <w:rPr>
          <w:rFonts w:hint="eastAsia"/>
          <w:highlight w:val="none"/>
        </w:rPr>
        <w:t>张红牌，违规方机器人将被禁用。</w:t>
      </w:r>
    </w:p>
    <w:p>
      <w:pPr>
        <w:pStyle w:val="27"/>
        <w:ind w:firstLine="420" w:firstLineChars="0"/>
        <w:rPr>
          <w:highlight w:val="none"/>
        </w:rPr>
      </w:pPr>
      <w:r>
        <w:rPr>
          <w:highlight w:val="none"/>
        </w:rPr>
        <w:t>资格排位赛阶段，黄牌以战队为单位累计，淘汰赛阶段，黄牌以联盟为单位累计。</w:t>
      </w:r>
    </w:p>
    <w:p>
      <w:pPr>
        <w:pStyle w:val="71"/>
        <w:rPr>
          <w:highlight w:val="none"/>
        </w:rPr>
      </w:pPr>
      <w:r>
        <w:rPr>
          <w:rFonts w:hint="eastAsia"/>
          <w:highlight w:val="none"/>
        </w:rPr>
        <w:t xml:space="preserve">红牌 </w:t>
      </w:r>
    </w:p>
    <w:p>
      <w:pPr>
        <w:pStyle w:val="99"/>
        <w:ind w:left="0" w:firstLine="480" w:firstLineChars="200"/>
        <w:rPr>
          <w:highlight w:val="none"/>
        </w:rPr>
      </w:pPr>
      <w:r>
        <w:rPr>
          <w:highlight w:val="none"/>
        </w:rPr>
        <w:t>指某方或相关人员的行为对当场比赛的公平性造成严重影响或严重违反安全原则的行为，将受到扣除当场联盟得分120分的处罚，同时</w:t>
      </w:r>
      <w:r>
        <w:rPr>
          <w:rFonts w:hint="eastAsia"/>
          <w:highlight w:val="none"/>
          <w:lang w:eastAsia="zh-Hans"/>
        </w:rPr>
        <w:t>犯规战队的</w:t>
      </w:r>
      <w:r>
        <w:rPr>
          <w:highlight w:val="none"/>
        </w:rPr>
        <w:t>机器人将被禁用。</w:t>
      </w:r>
      <w:r>
        <w:rPr>
          <w:rFonts w:hint="eastAsia"/>
          <w:highlight w:val="none"/>
        </w:rPr>
        <w:t>裁判有权根据实际情况判断是否要将被禁用的机器人移出场外。</w:t>
      </w:r>
      <w:r>
        <w:rPr>
          <w:highlight w:val="none"/>
        </w:rPr>
        <w:t xml:space="preserve"> </w:t>
      </w:r>
    </w:p>
    <w:p>
      <w:pPr>
        <w:pStyle w:val="99"/>
        <w:numPr>
          <w:ilvl w:val="0"/>
          <w:numId w:val="0"/>
        </w:numPr>
        <w:ind w:left="420"/>
        <w:rPr>
          <w:highlight w:val="none"/>
        </w:rPr>
      </w:pPr>
      <w:r>
        <w:rPr>
          <w:highlight w:val="none"/>
        </w:rPr>
        <w:t xml:space="preserve">红牌处罚说明： </w:t>
      </w:r>
    </w:p>
    <w:p>
      <w:pPr>
        <w:pStyle w:val="27"/>
        <w:ind w:firstLine="420" w:firstLineChars="0"/>
        <w:rPr>
          <w:highlight w:val="none"/>
        </w:rPr>
      </w:pPr>
      <w:r>
        <w:rPr>
          <w:highlight w:val="none"/>
        </w:rPr>
        <w:t>资格排位赛：以战队为单位，联盟中某战队</w:t>
      </w:r>
      <w:r>
        <w:rPr>
          <w:rFonts w:hint="eastAsia"/>
          <w:highlight w:val="none"/>
        </w:rPr>
        <w:t>受</w:t>
      </w:r>
      <w:r>
        <w:rPr>
          <w:highlight w:val="none"/>
        </w:rPr>
        <w:t>到红牌处罚，</w:t>
      </w:r>
      <w:r>
        <w:rPr>
          <w:rFonts w:hint="eastAsia"/>
          <w:highlight w:val="none"/>
        </w:rPr>
        <w:t>此战队扣除</w:t>
      </w:r>
      <w:r>
        <w:rPr>
          <w:highlight w:val="none"/>
        </w:rPr>
        <w:t>120</w:t>
      </w:r>
      <w:r>
        <w:rPr>
          <w:rFonts w:hint="eastAsia"/>
          <w:highlight w:val="none"/>
        </w:rPr>
        <w:t>分并且该战队机器人禁用</w:t>
      </w:r>
      <w:r>
        <w:rPr>
          <w:highlight w:val="none"/>
        </w:rPr>
        <w:t>，比赛继续。联盟两支战队同时获得红牌处罚，该联盟扣分后直接判负。（</w:t>
      </w:r>
      <w:r>
        <w:rPr>
          <w:rFonts w:hint="eastAsia"/>
          <w:highlight w:val="none"/>
        </w:rPr>
        <w:t>若判负方分数高于获胜方，则获胜方增加分数高于判负方10分结束比赛</w:t>
      </w:r>
      <w:r>
        <w:rPr>
          <w:highlight w:val="none"/>
        </w:rPr>
        <w:t xml:space="preserve">） </w:t>
      </w:r>
    </w:p>
    <w:p>
      <w:pPr>
        <w:pStyle w:val="27"/>
        <w:ind w:firstLine="420" w:firstLineChars="0"/>
        <w:rPr>
          <w:rFonts w:ascii="宋体" w:hAnsi="宋体" w:eastAsia="宋体" w:cs="宋体"/>
          <w:kern w:val="0"/>
          <w:szCs w:val="24"/>
          <w:highlight w:val="none"/>
          <w:lang w:bidi="ar"/>
        </w:rPr>
      </w:pPr>
      <w:r>
        <w:rPr>
          <w:highlight w:val="none"/>
        </w:rPr>
        <w:t>淘汰赛阶段：以联盟为单位，某联盟</w:t>
      </w:r>
      <w:r>
        <w:rPr>
          <w:rFonts w:hint="eastAsia"/>
          <w:highlight w:val="none"/>
        </w:rPr>
        <w:t>受</w:t>
      </w:r>
      <w:r>
        <w:rPr>
          <w:highlight w:val="none"/>
        </w:rPr>
        <w:t>到红牌处罚，该场比赛直接判负。（</w:t>
      </w:r>
      <w:r>
        <w:rPr>
          <w:rFonts w:hint="eastAsia"/>
          <w:highlight w:val="none"/>
        </w:rPr>
        <w:t>若判负方分数高于获胜方，则获胜方增加分数高于判负方10分结束比赛</w:t>
      </w:r>
      <w:r>
        <w:rPr>
          <w:highlight w:val="none"/>
        </w:rPr>
        <w:t>）</w:t>
      </w:r>
      <w:r>
        <w:rPr>
          <w:rFonts w:ascii="宋体" w:hAnsi="宋体" w:eastAsia="宋体" w:cs="宋体"/>
          <w:kern w:val="0"/>
          <w:szCs w:val="24"/>
          <w:highlight w:val="none"/>
          <w:lang w:bidi="ar"/>
        </w:rPr>
        <w:t xml:space="preserve"> </w:t>
      </w:r>
    </w:p>
    <w:p>
      <w:pPr>
        <w:pStyle w:val="108"/>
        <w:numPr>
          <w:ilvl w:val="2"/>
          <w:numId w:val="0"/>
        </w:numPr>
        <w:rPr>
          <w:highlight w:val="none"/>
        </w:rPr>
      </w:pPr>
      <w:r>
        <w:rPr>
          <w:rFonts w:hint="eastAsia"/>
          <w:highlight w:val="none"/>
        </w:rPr>
        <w:t>取消本场比赛资格</w:t>
      </w:r>
    </w:p>
    <w:p>
      <w:pPr>
        <w:pStyle w:val="99"/>
        <w:ind w:left="0" w:firstLine="480" w:firstLineChars="200"/>
        <w:rPr>
          <w:highlight w:val="none"/>
        </w:rPr>
      </w:pPr>
      <w:r>
        <w:rPr>
          <w:highlight w:val="none"/>
        </w:rPr>
        <w:t>裁判取消参赛战队的比赛资格，该战队的机器人立即被禁用，该战队不得继续参与本场比赛，本场比赛成绩作废，但不影响其他场次比赛。</w:t>
      </w:r>
    </w:p>
    <w:p>
      <w:pPr>
        <w:widowControl/>
        <w:jc w:val="left"/>
        <w:rPr>
          <w:highlight w:val="none"/>
        </w:rPr>
      </w:pPr>
      <w:r>
        <w:rPr>
          <w:rFonts w:hint="eastAsia" w:ascii="思源黑体 CN Heavy" w:hAnsi="思源黑体 CN Heavy" w:eastAsia="思源黑体 CN Heavy" w:cs="微软雅黑"/>
          <w:b/>
          <w:color w:val="2E75B6" w:themeColor="accent1" w:themeShade="BF"/>
          <w:sz w:val="24"/>
          <w:szCs w:val="21"/>
          <w:highlight w:val="none"/>
        </w:rPr>
        <w:t>取消全场比赛资格</w:t>
      </w:r>
    </w:p>
    <w:p>
      <w:pPr>
        <w:pStyle w:val="99"/>
        <w:ind w:left="0" w:firstLine="480" w:firstLineChars="200"/>
        <w:rPr>
          <w:highlight w:val="none"/>
        </w:rPr>
      </w:pPr>
      <w:bookmarkStart w:id="39" w:name="_Toc254050443"/>
      <w:bookmarkStart w:id="40" w:name="_Toc1970099374_WPSOffice_Level2"/>
      <w:bookmarkStart w:id="41" w:name="_Toc17719"/>
      <w:r>
        <w:rPr>
          <w:rFonts w:hint="eastAsia"/>
          <w:highlight w:val="none"/>
        </w:rPr>
        <w:t>裁判取消参赛战队的比赛资格，该战队的机器人立即被禁用，该战队不得继续参与该场比赛或下一场比赛，所有场次比赛成绩作废，该战队将失去继续参加本次比赛的机会和评奖资格。</w:t>
      </w:r>
    </w:p>
    <w:p>
      <w:pPr>
        <w:pStyle w:val="48"/>
        <w:ind w:left="845"/>
        <w:rPr>
          <w:highlight w:val="none"/>
        </w:rPr>
      </w:pPr>
      <w:r>
        <w:rPr>
          <w:rFonts w:hint="eastAsia"/>
          <w:highlight w:val="none"/>
        </w:rPr>
        <w:t>操作规则</w:t>
      </w:r>
      <w:bookmarkEnd w:id="39"/>
      <w:bookmarkEnd w:id="40"/>
      <w:bookmarkEnd w:id="41"/>
    </w:p>
    <w:p>
      <w:pPr>
        <w:pStyle w:val="71"/>
        <w:rPr>
          <w:highlight w:val="none"/>
        </w:rPr>
      </w:pPr>
      <w:r>
        <w:rPr>
          <w:rFonts w:hint="eastAsia"/>
          <w:highlight w:val="none"/>
        </w:rPr>
        <w:t>危险结构</w:t>
      </w:r>
    </w:p>
    <w:p>
      <w:pPr>
        <w:pStyle w:val="95"/>
        <w:bidi w:val="0"/>
        <w:ind w:left="13" w:leftChars="0" w:firstLine="587" w:firstLineChars="0"/>
        <w:rPr>
          <w:highlight w:val="none"/>
        </w:rPr>
      </w:pPr>
      <w:r>
        <w:rPr>
          <w:rFonts w:hint="eastAsia"/>
          <w:highlight w:val="none"/>
        </w:rPr>
        <w:t>若机器人存在可能对人体造成伤害的结构，如锐利的尖角等 ，则必须对其采取安全保护措施</w:t>
      </w:r>
      <w:r>
        <w:rPr>
          <w:rFonts w:hint="eastAsia"/>
          <w:highlight w:val="none"/>
          <w:lang w:eastAsia="zh-CN"/>
        </w:rPr>
        <w:t>。</w:t>
      </w:r>
    </w:p>
    <w:p>
      <w:pPr>
        <w:pStyle w:val="27"/>
        <w:numPr>
          <w:ilvl w:val="0"/>
          <w:numId w:val="19"/>
        </w:numPr>
        <w:ind w:firstLineChars="0"/>
        <w:rPr>
          <w:highlight w:val="none"/>
        </w:rPr>
      </w:pPr>
      <w:r>
        <w:rPr>
          <w:rFonts w:hint="eastAsia"/>
          <w:highlight w:val="none"/>
        </w:rPr>
        <w:t>违规机器人将被判警告，选手需要对机器人进行整改，否则机器人将被禁用。</w:t>
      </w:r>
    </w:p>
    <w:p>
      <w:pPr>
        <w:pStyle w:val="71"/>
        <w:rPr>
          <w:highlight w:val="none"/>
        </w:rPr>
      </w:pPr>
      <w:r>
        <w:rPr>
          <w:rFonts w:hint="eastAsia"/>
          <w:highlight w:val="none"/>
        </w:rPr>
        <w:t xml:space="preserve">破坏或污染场地 </w:t>
      </w:r>
    </w:p>
    <w:p>
      <w:pPr>
        <w:pStyle w:val="95"/>
        <w:bidi w:val="0"/>
        <w:ind w:left="13" w:leftChars="0" w:firstLine="587" w:firstLineChars="0"/>
        <w:rPr>
          <w:rFonts w:hint="eastAsia"/>
          <w:highlight w:val="none"/>
        </w:rPr>
      </w:pPr>
      <w:r>
        <w:rPr>
          <w:rFonts w:hint="eastAsia"/>
          <w:highlight w:val="none"/>
        </w:rPr>
        <w:t xml:space="preserve">比赛期间，机器人不得恶意“攀爬”或“冲撞”场地边界和中央隔栏。 </w:t>
      </w:r>
    </w:p>
    <w:p>
      <w:pPr>
        <w:pStyle w:val="27"/>
        <w:numPr>
          <w:ilvl w:val="0"/>
          <w:numId w:val="19"/>
        </w:numPr>
        <w:ind w:firstLineChars="0"/>
        <w:rPr>
          <w:highlight w:val="none"/>
        </w:rPr>
      </w:pPr>
      <w:r>
        <w:rPr>
          <w:rFonts w:hint="eastAsia"/>
          <w:highlight w:val="none"/>
        </w:rPr>
        <w:t>违规方机器人将被判</w:t>
      </w:r>
      <w:r>
        <w:rPr>
          <w:rFonts w:hint="eastAsia"/>
          <w:highlight w:val="none"/>
          <w:lang w:eastAsia="zh-Hans"/>
        </w:rPr>
        <w:t>当场比赛</w:t>
      </w:r>
      <w:r>
        <w:rPr>
          <w:rFonts w:hint="eastAsia"/>
          <w:highlight w:val="none"/>
        </w:rPr>
        <w:t>禁用</w:t>
      </w:r>
      <w:r>
        <w:rPr>
          <w:highlight w:val="none"/>
        </w:rPr>
        <w:t>，</w:t>
      </w:r>
      <w:r>
        <w:rPr>
          <w:rFonts w:hint="eastAsia"/>
          <w:highlight w:val="none"/>
        </w:rPr>
        <w:t xml:space="preserve">两次违规将被判取消全场比赛资格。 </w:t>
      </w:r>
    </w:p>
    <w:p>
      <w:pPr>
        <w:pStyle w:val="95"/>
        <w:bidi w:val="0"/>
        <w:ind w:left="13" w:leftChars="0" w:firstLine="587" w:firstLineChars="0"/>
        <w:rPr>
          <w:rFonts w:hint="eastAsia"/>
          <w:highlight w:val="none"/>
        </w:rPr>
      </w:pPr>
      <w:r>
        <w:rPr>
          <w:rFonts w:hint="eastAsia"/>
          <w:highlight w:val="none"/>
        </w:rPr>
        <w:t>若场地被机器人污染，则机器人将被判定为不安全状态。比赛全程中机器人不得使用双面胶或胶水等固着场地元素。</w:t>
      </w:r>
    </w:p>
    <w:p>
      <w:pPr>
        <w:pStyle w:val="27"/>
        <w:numPr>
          <w:ilvl w:val="0"/>
          <w:numId w:val="19"/>
        </w:numPr>
        <w:ind w:firstLineChars="0"/>
        <w:rPr>
          <w:highlight w:val="none"/>
        </w:rPr>
      </w:pPr>
      <w:r>
        <w:rPr>
          <w:rFonts w:hint="eastAsia"/>
          <w:highlight w:val="none"/>
        </w:rPr>
        <w:t>违规方机器人</w:t>
      </w:r>
      <w:r>
        <w:rPr>
          <w:rFonts w:hint="eastAsia"/>
          <w:highlight w:val="none"/>
          <w:lang w:eastAsia="zh-Hans"/>
        </w:rPr>
        <w:t>将被判当场比赛禁用</w:t>
      </w:r>
      <w:r>
        <w:rPr>
          <w:highlight w:val="none"/>
          <w:lang w:eastAsia="zh-Hans"/>
        </w:rPr>
        <w:t>，</w:t>
      </w:r>
      <w:r>
        <w:rPr>
          <w:rFonts w:hint="eastAsia"/>
          <w:highlight w:val="none"/>
          <w:lang w:eastAsia="zh-Hans"/>
        </w:rPr>
        <w:t>如果机器人还要参加比赛</w:t>
      </w:r>
      <w:r>
        <w:rPr>
          <w:highlight w:val="none"/>
          <w:lang w:eastAsia="zh-Hans"/>
        </w:rPr>
        <w:t>，</w:t>
      </w:r>
      <w:r>
        <w:rPr>
          <w:rFonts w:hint="eastAsia"/>
          <w:highlight w:val="none"/>
          <w:lang w:eastAsia="zh-Hans"/>
        </w:rPr>
        <w:t>选手需要对机器人</w:t>
      </w:r>
      <w:r>
        <w:rPr>
          <w:rFonts w:hint="eastAsia"/>
          <w:highlight w:val="none"/>
        </w:rPr>
        <w:t>进行整改，并接受再次检查。两次违规将被判取消全场比赛资格。</w:t>
      </w:r>
    </w:p>
    <w:p>
      <w:pPr>
        <w:pStyle w:val="71"/>
        <w:rPr>
          <w:highlight w:val="none"/>
        </w:rPr>
      </w:pPr>
      <w:r>
        <w:rPr>
          <w:rFonts w:hint="eastAsia"/>
          <w:highlight w:val="none"/>
        </w:rPr>
        <w:t>破坏其它机器人</w:t>
      </w:r>
    </w:p>
    <w:p>
      <w:pPr>
        <w:pStyle w:val="95"/>
        <w:bidi w:val="0"/>
        <w:ind w:left="13" w:leftChars="0" w:firstLine="587" w:firstLineChars="0"/>
        <w:rPr>
          <w:rFonts w:hint="eastAsia"/>
          <w:highlight w:val="none"/>
        </w:rPr>
      </w:pPr>
      <w:r>
        <w:rPr>
          <w:rFonts w:hint="eastAsia"/>
          <w:highlight w:val="none"/>
          <w:lang w:val="en-US"/>
        </w:rPr>
        <w:t xml:space="preserve">比赛期间，机器人不得故意冲撞比赛场地上的其他机器人。 </w:t>
      </w:r>
    </w:p>
    <w:p>
      <w:pPr>
        <w:pStyle w:val="27"/>
        <w:numPr>
          <w:ilvl w:val="0"/>
          <w:numId w:val="19"/>
        </w:numPr>
        <w:ind w:firstLineChars="0"/>
        <w:rPr>
          <w:highlight w:val="none"/>
        </w:rPr>
      </w:pPr>
      <w:r>
        <w:rPr>
          <w:rFonts w:hint="eastAsia"/>
          <w:highlight w:val="none"/>
        </w:rPr>
        <w:t>违规方机器人将被判本场比赛禁用，两次违规将被判取消全场比赛资格。</w:t>
      </w:r>
    </w:p>
    <w:p>
      <w:pPr>
        <w:pStyle w:val="71"/>
        <w:rPr>
          <w:highlight w:val="none"/>
        </w:rPr>
      </w:pPr>
      <w:r>
        <w:rPr>
          <w:rFonts w:hint="eastAsia"/>
          <w:highlight w:val="none"/>
        </w:rPr>
        <w:t>机器人出界</w:t>
      </w:r>
    </w:p>
    <w:p>
      <w:pPr>
        <w:pStyle w:val="95"/>
        <w:bidi w:val="0"/>
        <w:ind w:left="13" w:leftChars="0" w:firstLine="587" w:firstLineChars="0"/>
        <w:rPr>
          <w:rFonts w:hint="eastAsia"/>
          <w:highlight w:val="none"/>
        </w:rPr>
      </w:pPr>
      <w:r>
        <w:rPr>
          <w:rFonts w:hint="eastAsia"/>
          <w:highlight w:val="none"/>
        </w:rPr>
        <w:t>比赛过程中，机器人的任何部分均不得超出场地边界。如果机器人出界，须在3秒之内返回本方区域，裁判将会进行口头读秒提醒。</w:t>
      </w:r>
    </w:p>
    <w:p>
      <w:pPr>
        <w:pStyle w:val="107"/>
        <w:numPr>
          <w:ilvl w:val="0"/>
          <w:numId w:val="19"/>
        </w:numPr>
        <w:ind w:firstLineChars="0"/>
        <w:rPr>
          <w:rFonts w:cs="微软雅黑"/>
          <w:color w:val="000000" w:themeColor="text1"/>
          <w:sz w:val="24"/>
          <w:szCs w:val="21"/>
          <w:highlight w:val="none"/>
          <w14:textFill>
            <w14:solidFill>
              <w14:schemeClr w14:val="tx1"/>
            </w14:solidFill>
          </w14:textFill>
        </w:rPr>
      </w:pPr>
      <w:r>
        <w:rPr>
          <w:rFonts w:hint="eastAsia" w:cs="微软雅黑"/>
          <w:color w:val="000000" w:themeColor="text1"/>
          <w:sz w:val="24"/>
          <w:szCs w:val="21"/>
          <w:highlight w:val="none"/>
          <w14:textFill>
            <w14:solidFill>
              <w14:schemeClr w14:val="tx1"/>
            </w14:solidFill>
          </w14:textFill>
        </w:rPr>
        <w:t>未按时返回的战队将被判违例，两次违规者将被判取消本场比赛资格。</w:t>
      </w:r>
    </w:p>
    <w:p>
      <w:pPr>
        <w:pStyle w:val="71"/>
        <w:rPr>
          <w:highlight w:val="none"/>
        </w:rPr>
      </w:pPr>
      <w:r>
        <w:rPr>
          <w:rFonts w:hint="eastAsia"/>
          <w:highlight w:val="none"/>
        </w:rPr>
        <w:t>使用违规材料</w:t>
      </w:r>
    </w:p>
    <w:p>
      <w:pPr>
        <w:pStyle w:val="95"/>
        <w:bidi w:val="0"/>
        <w:ind w:left="13" w:leftChars="0" w:firstLine="587" w:firstLineChars="0"/>
        <w:rPr>
          <w:rFonts w:hint="eastAsia"/>
          <w:highlight w:val="none"/>
        </w:rPr>
      </w:pPr>
      <w:r>
        <w:rPr>
          <w:rFonts w:hint="eastAsia"/>
          <w:highlight w:val="none"/>
        </w:rPr>
        <w:t>严格禁止机器人使用危险的材料或具备危险的机构，例如：</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易燃气体、产生火或者烟的设备、液压油或液压件、含有液态汞（水银）的开关或触点；</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危险材料（如铅）；</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可能造成场地污染的材料，例如沙子等可能在比赛中散落的物体；</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可能造成机器人固定连接的材料；</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有锋利边角易造成伤害的材料；</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使用动物制成的材料（出于健康和法律考虑）；</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含有液体或胶状物的材料（按规定使用的胶水、润滑油除外）；</w:t>
      </w:r>
    </w:p>
    <w:p>
      <w:pPr>
        <w:pStyle w:val="27"/>
        <w:keepNext w:val="0"/>
        <w:keepLines w:val="0"/>
        <w:pageBreakBefore w:val="0"/>
        <w:widowControl w:val="0"/>
        <w:numPr>
          <w:ilvl w:val="0"/>
          <w:numId w:val="20"/>
        </w:numPr>
        <w:tabs>
          <w:tab w:val="left" w:pos="420"/>
        </w:tabs>
        <w:kinsoku/>
        <w:wordWrap/>
        <w:overflowPunct/>
        <w:topLinePunct w:val="0"/>
        <w:autoSpaceDE/>
        <w:autoSpaceDN/>
        <w:bidi w:val="0"/>
        <w:adjustRightInd/>
        <w:snapToGrid/>
        <w:ind w:left="839" w:hanging="420" w:firstLineChars="0"/>
        <w:textAlignment w:val="auto"/>
        <w:rPr>
          <w:highlight w:val="none"/>
        </w:rPr>
      </w:pPr>
      <w:r>
        <w:rPr>
          <w:rFonts w:hint="eastAsia"/>
          <w:highlight w:val="none"/>
        </w:rPr>
        <w:t>可能将机器人上电流传导至场地上的任何零件；</w:t>
      </w:r>
    </w:p>
    <w:p>
      <w:pPr>
        <w:pStyle w:val="27"/>
        <w:numPr>
          <w:ilvl w:val="0"/>
          <w:numId w:val="19"/>
        </w:numPr>
        <w:ind w:firstLineChars="0"/>
        <w:rPr>
          <w:highlight w:val="none"/>
        </w:rPr>
      </w:pPr>
      <w:r>
        <w:rPr>
          <w:rFonts w:hint="eastAsia"/>
          <w:highlight w:val="none"/>
        </w:rPr>
        <w:t>违规方机器人将被判禁用。如果机器人还要参加比赛，选手需要对机器人进行整改，并接受再次检查。两次违规将被判取消全场比赛资格。</w:t>
      </w:r>
    </w:p>
    <w:p>
      <w:pPr>
        <w:pStyle w:val="71"/>
        <w:rPr>
          <w:highlight w:val="none"/>
        </w:rPr>
      </w:pPr>
      <w:r>
        <w:rPr>
          <w:rFonts w:hint="eastAsia"/>
          <w:highlight w:val="none"/>
        </w:rPr>
        <w:t>其他不安全因素</w:t>
      </w:r>
    </w:p>
    <w:p>
      <w:pPr>
        <w:pStyle w:val="95"/>
        <w:bidi w:val="0"/>
        <w:ind w:left="13" w:leftChars="0" w:firstLine="587" w:firstLineChars="0"/>
        <w:rPr>
          <w:rFonts w:hint="eastAsia"/>
          <w:highlight w:val="none"/>
        </w:rPr>
      </w:pPr>
      <w:r>
        <w:rPr>
          <w:rFonts w:hint="eastAsia"/>
          <w:highlight w:val="none"/>
        </w:rPr>
        <w:t>在R06.项目之外，裁判有权针对特定机器人是否安全进行单独判定。</w:t>
      </w:r>
    </w:p>
    <w:p>
      <w:pPr>
        <w:pStyle w:val="27"/>
        <w:numPr>
          <w:ilvl w:val="0"/>
          <w:numId w:val="19"/>
        </w:numPr>
        <w:ind w:firstLineChars="0"/>
        <w:rPr>
          <w:highlight w:val="none"/>
        </w:rPr>
      </w:pPr>
      <w:r>
        <w:rPr>
          <w:rFonts w:hint="eastAsia"/>
          <w:highlight w:val="none"/>
        </w:rPr>
        <w:t>违规方机器人将被判禁用。如果机器人还要参加比赛，选手需要对机器人进行整改，并接受再次检查。两次违规将被判取消全场比赛资格。</w:t>
      </w:r>
    </w:p>
    <w:p>
      <w:pPr>
        <w:pStyle w:val="71"/>
        <w:rPr>
          <w:highlight w:val="none"/>
        </w:rPr>
      </w:pPr>
      <w:r>
        <w:rPr>
          <w:rFonts w:hint="eastAsia"/>
          <w:highlight w:val="none"/>
        </w:rPr>
        <w:t>参赛队员要求</w:t>
      </w:r>
    </w:p>
    <w:p>
      <w:pPr>
        <w:pStyle w:val="95"/>
        <w:bidi w:val="0"/>
        <w:ind w:left="13" w:leftChars="0" w:firstLine="587" w:firstLineChars="0"/>
        <w:rPr>
          <w:rFonts w:hint="eastAsia"/>
          <w:highlight w:val="none"/>
        </w:rPr>
      </w:pPr>
      <w:r>
        <w:rPr>
          <w:rFonts w:hint="eastAsia"/>
          <w:highlight w:val="none"/>
        </w:rPr>
        <w:t xml:space="preserve">每个参赛战队派出1名操作手和1名观察手。每方联盟中包含2名操作手和2名观察手，选出其中1人为联盟队长。 </w:t>
      </w:r>
    </w:p>
    <w:p>
      <w:pPr>
        <w:pStyle w:val="95"/>
        <w:bidi w:val="0"/>
        <w:ind w:left="13" w:leftChars="0" w:firstLine="587" w:firstLineChars="0"/>
        <w:rPr>
          <w:rFonts w:hint="eastAsia"/>
          <w:highlight w:val="none"/>
        </w:rPr>
      </w:pPr>
      <w:r>
        <w:rPr>
          <w:rFonts w:hint="eastAsia"/>
          <w:highlight w:val="none"/>
        </w:rPr>
        <w:t>在比赛过程中不允许场外第三人替换场上队员。每场比赛由双方联盟操作手操控机器人完成任务，本方操作手与观察手在比赛期间可自由交换角色。</w:t>
      </w:r>
    </w:p>
    <w:p>
      <w:pPr>
        <w:pStyle w:val="95"/>
        <w:bidi w:val="0"/>
        <w:ind w:left="13" w:leftChars="0" w:firstLine="587" w:firstLineChars="0"/>
        <w:rPr>
          <w:rFonts w:hint="eastAsia"/>
          <w:highlight w:val="none"/>
        </w:rPr>
      </w:pPr>
      <w:r>
        <w:rPr>
          <w:rFonts w:hint="eastAsia"/>
          <w:highlight w:val="none"/>
        </w:rPr>
        <w:t>在备赛、调试机器人、上场比赛等环节，留长发者应将头发扎起。参赛队员应穿不露出脚趾的鞋进入场地。</w:t>
      </w:r>
    </w:p>
    <w:p>
      <w:pPr>
        <w:pStyle w:val="95"/>
        <w:bidi w:val="0"/>
        <w:ind w:left="13" w:leftChars="0" w:firstLine="587" w:firstLineChars="0"/>
        <w:rPr>
          <w:rFonts w:hint="eastAsia"/>
          <w:highlight w:val="none"/>
        </w:rPr>
      </w:pPr>
      <w:r>
        <w:rPr>
          <w:rFonts w:hint="eastAsia"/>
          <w:highlight w:val="none"/>
        </w:rPr>
        <w:t>比赛过程中，参赛队员必须佩戴护目镜。</w:t>
      </w:r>
    </w:p>
    <w:p>
      <w:pPr>
        <w:pStyle w:val="27"/>
        <w:numPr>
          <w:ilvl w:val="0"/>
          <w:numId w:val="19"/>
        </w:numPr>
        <w:ind w:firstLineChars="0"/>
        <w:rPr>
          <w:highlight w:val="none"/>
        </w:rPr>
      </w:pPr>
      <w:r>
        <w:rPr>
          <w:highlight w:val="none"/>
        </w:rPr>
        <w:t>违规方将被判取消本场比赛资格，选手需要进行整改，并接受再次检查。两次违规将被判取消全场比赛资格。</w:t>
      </w:r>
    </w:p>
    <w:p>
      <w:pPr>
        <w:pStyle w:val="108"/>
        <w:numPr>
          <w:ilvl w:val="2"/>
          <w:numId w:val="0"/>
        </w:numPr>
        <w:rPr>
          <w:highlight w:val="none"/>
        </w:rPr>
      </w:pPr>
      <w:r>
        <w:rPr>
          <w:rFonts w:hint="eastAsia"/>
          <w:highlight w:val="none"/>
        </w:rPr>
        <w:t>未按时到达赛场</w:t>
      </w:r>
    </w:p>
    <w:p>
      <w:pPr>
        <w:pStyle w:val="95"/>
        <w:bidi w:val="0"/>
        <w:ind w:left="13" w:leftChars="0" w:firstLine="587" w:firstLineChars="0"/>
        <w:rPr>
          <w:rFonts w:hint="eastAsia"/>
          <w:highlight w:val="none"/>
        </w:rPr>
      </w:pPr>
      <w:r>
        <w:rPr>
          <w:rFonts w:hint="eastAsia"/>
          <w:highlight w:val="none"/>
        </w:rPr>
        <w:t>战队在实际比赛规定赛程中，超时5分钟以上未抵达赛场，视为该战队自愿放弃本场比赛资格，如整体赛程延迟，以现场通知时间为准。</w:t>
      </w:r>
    </w:p>
    <w:p>
      <w:pPr>
        <w:pStyle w:val="27"/>
        <w:numPr>
          <w:ilvl w:val="0"/>
          <w:numId w:val="19"/>
        </w:numPr>
        <w:ind w:firstLineChars="0"/>
        <w:rPr>
          <w:rFonts w:hint="eastAsia"/>
          <w:highlight w:val="none"/>
        </w:rPr>
      </w:pPr>
      <w:r>
        <w:rPr>
          <w:highlight w:val="none"/>
        </w:rPr>
        <w:t>违规方将被判取消本场比赛资格。</w:t>
      </w:r>
    </w:p>
    <w:p>
      <w:pPr>
        <w:pStyle w:val="71"/>
        <w:rPr>
          <w:highlight w:val="none"/>
        </w:rPr>
      </w:pPr>
      <w:r>
        <w:rPr>
          <w:rFonts w:hint="eastAsia"/>
          <w:highlight w:val="none"/>
        </w:rPr>
        <w:t>参赛队员站位</w:t>
      </w:r>
    </w:p>
    <w:p>
      <w:pPr>
        <w:pStyle w:val="95"/>
        <w:bidi w:val="0"/>
        <w:ind w:left="13" w:leftChars="0" w:firstLine="587" w:firstLineChars="0"/>
        <w:rPr>
          <w:rFonts w:hint="eastAsia"/>
          <w:highlight w:val="none"/>
        </w:rPr>
      </w:pPr>
      <w:r>
        <w:rPr>
          <w:rFonts w:hint="eastAsia"/>
          <w:highlight w:val="none"/>
        </w:rPr>
        <w:t>比赛过程中，参赛队员仅可在己方半场的边框外侧活动（实际区域大小视比赛现场情况而定）。</w:t>
      </w:r>
    </w:p>
    <w:p>
      <w:pPr>
        <w:pStyle w:val="27"/>
        <w:numPr>
          <w:ilvl w:val="0"/>
          <w:numId w:val="19"/>
        </w:numPr>
        <w:ind w:firstLineChars="0"/>
        <w:rPr>
          <w:highlight w:val="none"/>
        </w:rPr>
      </w:pPr>
      <w:r>
        <w:rPr>
          <w:rFonts w:hint="eastAsia"/>
          <w:highlight w:val="none"/>
        </w:rPr>
        <w:drawing>
          <wp:anchor distT="0" distB="0" distL="114300" distR="114300" simplePos="0" relativeHeight="251662336" behindDoc="0" locked="0" layoutInCell="1" allowOverlap="1">
            <wp:simplePos x="0" y="0"/>
            <wp:positionH relativeFrom="column">
              <wp:posOffset>190500</wp:posOffset>
            </wp:positionH>
            <wp:positionV relativeFrom="paragraph">
              <wp:posOffset>600075</wp:posOffset>
            </wp:positionV>
            <wp:extent cx="4991100" cy="3298825"/>
            <wp:effectExtent l="0" t="0" r="0" b="0"/>
            <wp:wrapTopAndBottom/>
            <wp:docPr id="2" name="图片 2" descr="7c53fdb7-c970-42c0-900c-8646735df9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c53fdb7-c970-42c0-900c-8646735df9a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991100" cy="3298825"/>
                    </a:xfrm>
                    <a:prstGeom prst="rect">
                      <a:avLst/>
                    </a:prstGeom>
                  </pic:spPr>
                </pic:pic>
              </a:graphicData>
            </a:graphic>
          </wp:anchor>
        </w:drawing>
      </w:r>
      <w:r>
        <w:rPr>
          <w:highlight w:val="none"/>
        </w:rPr>
        <w:t>违规方将被判口头警告，两次违规将被判违例。情节恶劣者取消本场比赛资格。</w:t>
      </w:r>
    </w:p>
    <w:p>
      <w:pPr>
        <w:pStyle w:val="16"/>
        <w:tabs>
          <w:tab w:val="left" w:pos="270"/>
          <w:tab w:val="center" w:pos="4153"/>
        </w:tabs>
        <w:ind w:left="840"/>
        <w:jc w:val="center"/>
        <w:outlineLvl w:val="1"/>
        <w:rPr>
          <w:highlight w:val="none"/>
        </w:rPr>
      </w:pPr>
      <w:r>
        <w:rPr>
          <w:highlight w:val="none"/>
        </w:rPr>
        <w:t>操作区站位示意图</w:t>
      </w:r>
    </w:p>
    <w:p>
      <w:pPr>
        <w:pStyle w:val="71"/>
        <w:rPr>
          <w:rFonts w:hint="eastAsia"/>
          <w:highlight w:val="none"/>
        </w:rPr>
      </w:pPr>
      <w:r>
        <w:rPr>
          <w:rFonts w:hint="eastAsia"/>
          <w:highlight w:val="none"/>
        </w:rPr>
        <w:t xml:space="preserve">淘汰赛相关规则 </w:t>
      </w:r>
    </w:p>
    <w:p>
      <w:pPr>
        <w:pStyle w:val="95"/>
        <w:bidi w:val="0"/>
        <w:ind w:left="13" w:leftChars="0" w:firstLine="587" w:firstLineChars="0"/>
        <w:rPr>
          <w:rFonts w:hint="eastAsia"/>
          <w:highlight w:val="none"/>
        </w:rPr>
      </w:pPr>
      <w:r>
        <w:rPr>
          <w:rFonts w:hint="eastAsia"/>
          <w:highlight w:val="none"/>
        </w:rPr>
        <w:t xml:space="preserve">淘汰赛三局比赛中，每局比赛结束后，战队联盟最多有5分钟的调试时间，不得超时。 </w:t>
      </w:r>
    </w:p>
    <w:p>
      <w:pPr>
        <w:pStyle w:val="27"/>
        <w:numPr>
          <w:ilvl w:val="0"/>
          <w:numId w:val="19"/>
        </w:numPr>
        <w:ind w:firstLineChars="0"/>
        <w:rPr>
          <w:highlight w:val="none"/>
        </w:rPr>
      </w:pPr>
      <w:r>
        <w:rPr>
          <w:highlight w:val="none"/>
        </w:rPr>
        <w:t>违规方将被判</w:t>
      </w:r>
      <w:r>
        <w:rPr>
          <w:b/>
          <w:bCs/>
          <w:highlight w:val="none"/>
        </w:rPr>
        <w:t>警告</w:t>
      </w:r>
      <w:r>
        <w:rPr>
          <w:highlight w:val="none"/>
        </w:rPr>
        <w:t>，两次违规将被判</w:t>
      </w:r>
      <w:r>
        <w:rPr>
          <w:b/>
          <w:bCs/>
          <w:highlight w:val="none"/>
        </w:rPr>
        <w:t>违例。</w:t>
      </w:r>
      <w:r>
        <w:rPr>
          <w:highlight w:val="none"/>
        </w:rPr>
        <w:t xml:space="preserve"> </w:t>
      </w:r>
    </w:p>
    <w:p>
      <w:pPr>
        <w:pStyle w:val="71"/>
        <w:rPr>
          <w:highlight w:val="none"/>
        </w:rPr>
      </w:pPr>
      <w:r>
        <w:rPr>
          <w:rFonts w:hint="eastAsia"/>
          <w:highlight w:val="none"/>
        </w:rPr>
        <w:t xml:space="preserve">提前开始比赛 </w:t>
      </w:r>
    </w:p>
    <w:p>
      <w:pPr>
        <w:pStyle w:val="95"/>
        <w:bidi w:val="0"/>
        <w:ind w:left="13" w:leftChars="0" w:firstLine="587" w:firstLineChars="0"/>
        <w:rPr>
          <w:rFonts w:hint="eastAsia"/>
          <w:highlight w:val="none"/>
        </w:rPr>
      </w:pPr>
      <w:r>
        <w:rPr>
          <w:rFonts w:hint="eastAsia"/>
          <w:highlight w:val="none"/>
        </w:rPr>
        <w:t xml:space="preserve">在裁判宣布比赛开始前，机器人不得启动。 </w:t>
      </w:r>
    </w:p>
    <w:p>
      <w:pPr>
        <w:pStyle w:val="27"/>
        <w:numPr>
          <w:ilvl w:val="0"/>
          <w:numId w:val="19"/>
        </w:numPr>
        <w:ind w:firstLineChars="0"/>
        <w:rPr>
          <w:highlight w:val="none"/>
        </w:rPr>
      </w:pPr>
      <w:r>
        <w:rPr>
          <w:highlight w:val="none"/>
        </w:rPr>
        <w:t xml:space="preserve">违规方将被判违例，两次违规将被判黄牌。 </w:t>
      </w:r>
    </w:p>
    <w:p>
      <w:pPr>
        <w:pStyle w:val="71"/>
        <w:rPr>
          <w:highlight w:val="none"/>
        </w:rPr>
      </w:pPr>
      <w:r>
        <w:rPr>
          <w:rFonts w:hint="eastAsia"/>
          <w:highlight w:val="none"/>
        </w:rPr>
        <w:t xml:space="preserve">延迟结束比赛 </w:t>
      </w:r>
    </w:p>
    <w:p>
      <w:pPr>
        <w:pStyle w:val="95"/>
        <w:bidi w:val="0"/>
        <w:ind w:left="13" w:leftChars="0" w:firstLine="587" w:firstLineChars="0"/>
        <w:rPr>
          <w:rFonts w:hint="eastAsia"/>
          <w:highlight w:val="none"/>
        </w:rPr>
      </w:pPr>
      <w:r>
        <w:rPr>
          <w:rFonts w:hint="eastAsia"/>
          <w:highlight w:val="none"/>
        </w:rPr>
        <w:t xml:space="preserve">在自动控制阶段、手动控制阶段、全力一搏阶段结束后，操作手应停止操作机器人或停止机器人的运动程序（机器人由于惯性导致的运动除外）。 </w:t>
      </w:r>
    </w:p>
    <w:p>
      <w:pPr>
        <w:pStyle w:val="27"/>
        <w:numPr>
          <w:ilvl w:val="0"/>
          <w:numId w:val="19"/>
        </w:numPr>
        <w:ind w:firstLineChars="0"/>
        <w:rPr>
          <w:highlight w:val="none"/>
        </w:rPr>
      </w:pPr>
      <w:r>
        <w:rPr>
          <w:highlight w:val="none"/>
        </w:rPr>
        <w:t xml:space="preserve">违规方将被判违例，若延迟结束比赛为违规方带来比赛优势，裁判应判无效得分，并尽量恢复场地原有状态。 </w:t>
      </w:r>
    </w:p>
    <w:p>
      <w:pPr>
        <w:pStyle w:val="71"/>
        <w:rPr>
          <w:highlight w:val="none"/>
        </w:rPr>
      </w:pPr>
      <w:r>
        <w:rPr>
          <w:rFonts w:hint="eastAsia"/>
          <w:highlight w:val="none"/>
        </w:rPr>
        <w:t>携带违规电子设备</w:t>
      </w:r>
    </w:p>
    <w:p>
      <w:pPr>
        <w:pStyle w:val="95"/>
        <w:bidi w:val="0"/>
        <w:ind w:left="13" w:leftChars="0" w:firstLine="587" w:firstLineChars="0"/>
        <w:rPr>
          <w:rFonts w:hint="eastAsia"/>
          <w:highlight w:val="none"/>
        </w:rPr>
      </w:pPr>
      <w:r>
        <w:rPr>
          <w:rFonts w:hint="eastAsia"/>
          <w:highlight w:val="none"/>
        </w:rPr>
        <w:t xml:space="preserve">除比赛允许使用的电子通讯设备外，不允许参赛队员携带其他电子通讯设备进入比赛场地（手机、对讲机、电脑、无线网络设备等）。 </w:t>
      </w:r>
    </w:p>
    <w:p>
      <w:pPr>
        <w:pStyle w:val="27"/>
        <w:numPr>
          <w:ilvl w:val="0"/>
          <w:numId w:val="19"/>
        </w:numPr>
        <w:ind w:firstLineChars="0"/>
        <w:rPr>
          <w:highlight w:val="none"/>
        </w:rPr>
      </w:pPr>
      <w:r>
        <w:rPr>
          <w:rFonts w:hint="eastAsia"/>
          <w:highlight w:val="none"/>
        </w:rPr>
        <w:t>违规方将被判违例，二次违规将被判黄牌，情节恶劣者取消本场比赛资格。</w:t>
      </w:r>
      <w:r>
        <w:rPr>
          <w:highlight w:val="none"/>
        </w:rPr>
        <w:t xml:space="preserve"> </w:t>
      </w:r>
    </w:p>
    <w:p>
      <w:pPr>
        <w:pStyle w:val="71"/>
        <w:rPr>
          <w:highlight w:val="none"/>
        </w:rPr>
      </w:pPr>
      <w:r>
        <w:rPr>
          <w:rFonts w:hint="eastAsia"/>
          <w:highlight w:val="none"/>
        </w:rPr>
        <w:t xml:space="preserve">自动控制阶段使用蓝牙手柄控制 </w:t>
      </w:r>
    </w:p>
    <w:p>
      <w:pPr>
        <w:pStyle w:val="95"/>
        <w:bidi w:val="0"/>
        <w:ind w:left="13" w:leftChars="0" w:firstLine="587" w:firstLineChars="0"/>
        <w:rPr>
          <w:rFonts w:hint="eastAsia"/>
          <w:highlight w:val="none"/>
        </w:rPr>
      </w:pPr>
      <w:r>
        <w:rPr>
          <w:rFonts w:hint="eastAsia"/>
          <w:highlight w:val="none"/>
        </w:rPr>
        <w:t xml:space="preserve">选手须提前完成蓝牙手柄与机器人的配对。自动控制阶段，蓝牙手柄应放置于场地外；自动控制阶段结束后，方可拿起蓝牙手柄操控机器人；手动控制阶段结束后，须立即停止操控机器人。 </w:t>
      </w:r>
    </w:p>
    <w:p>
      <w:pPr>
        <w:pStyle w:val="27"/>
        <w:numPr>
          <w:ilvl w:val="0"/>
          <w:numId w:val="19"/>
        </w:numPr>
        <w:ind w:firstLineChars="0"/>
        <w:rPr>
          <w:highlight w:val="none"/>
        </w:rPr>
      </w:pPr>
      <w:r>
        <w:rPr>
          <w:rFonts w:hint="eastAsia"/>
          <w:highlight w:val="none"/>
        </w:rPr>
        <w:t>违规方将被判违例，自动控制阶段使用蓝牙手柄将直接判罚红牌，情节恶劣者取消本场比赛资格。</w:t>
      </w:r>
      <w:r>
        <w:rPr>
          <w:highlight w:val="none"/>
        </w:rPr>
        <w:t xml:space="preserve"> </w:t>
      </w:r>
    </w:p>
    <w:p>
      <w:pPr>
        <w:pStyle w:val="71"/>
        <w:rPr>
          <w:highlight w:val="none"/>
        </w:rPr>
      </w:pPr>
      <w:r>
        <w:rPr>
          <w:rFonts w:hint="eastAsia"/>
          <w:highlight w:val="none"/>
        </w:rPr>
        <w:t xml:space="preserve">操控被禁用的机器人 </w:t>
      </w:r>
    </w:p>
    <w:p>
      <w:pPr>
        <w:pStyle w:val="95"/>
        <w:bidi w:val="0"/>
        <w:ind w:left="13" w:leftChars="0" w:firstLine="587" w:firstLineChars="0"/>
        <w:rPr>
          <w:rFonts w:hint="eastAsia"/>
          <w:highlight w:val="none"/>
        </w:rPr>
      </w:pPr>
      <w:r>
        <w:rPr>
          <w:rFonts w:hint="eastAsia"/>
          <w:highlight w:val="none"/>
        </w:rPr>
        <w:t xml:space="preserve">机器人在被禁用后，操作手不得继续控制。 </w:t>
      </w:r>
    </w:p>
    <w:p>
      <w:pPr>
        <w:pStyle w:val="27"/>
        <w:numPr>
          <w:ilvl w:val="0"/>
          <w:numId w:val="19"/>
        </w:numPr>
        <w:ind w:firstLineChars="0"/>
        <w:rPr>
          <w:highlight w:val="none"/>
        </w:rPr>
      </w:pPr>
      <w:r>
        <w:rPr>
          <w:rFonts w:hint="eastAsia"/>
          <w:highlight w:val="none"/>
        </w:rPr>
        <w:t>违规者取消本场比赛资格。</w:t>
      </w:r>
    </w:p>
    <w:p>
      <w:pPr>
        <w:pStyle w:val="71"/>
        <w:rPr>
          <w:highlight w:val="none"/>
        </w:rPr>
      </w:pPr>
      <w:r>
        <w:rPr>
          <w:rFonts w:hint="eastAsia"/>
          <w:highlight w:val="none"/>
        </w:rPr>
        <w:t xml:space="preserve">机器人遗留零部件 </w:t>
      </w:r>
    </w:p>
    <w:p>
      <w:pPr>
        <w:pStyle w:val="95"/>
        <w:bidi w:val="0"/>
        <w:ind w:left="13" w:leftChars="0" w:firstLine="587" w:firstLineChars="0"/>
        <w:rPr>
          <w:rFonts w:hint="eastAsia"/>
          <w:highlight w:val="none"/>
        </w:rPr>
      </w:pPr>
      <w:r>
        <w:rPr>
          <w:rFonts w:hint="eastAsia"/>
          <w:highlight w:val="none"/>
        </w:rPr>
        <w:t xml:space="preserve">比赛期间，机器人不可以分离（分离指与机器人主体分离，并不受控制）零部件或把机械装置遗留在比赛场地。因对方机器人的碰撞或其他机器人的直接接触行为导致的脱落除外。 </w:t>
      </w:r>
    </w:p>
    <w:p>
      <w:pPr>
        <w:pStyle w:val="27"/>
        <w:numPr>
          <w:ilvl w:val="0"/>
          <w:numId w:val="19"/>
        </w:numPr>
        <w:ind w:firstLineChars="0"/>
        <w:rPr>
          <w:highlight w:val="none"/>
        </w:rPr>
      </w:pPr>
      <w:r>
        <w:rPr>
          <w:highlight w:val="none"/>
        </w:rPr>
        <w:t>若影响比赛进行</w:t>
      </w:r>
      <w:r>
        <w:rPr>
          <w:rFonts w:hint="eastAsia"/>
          <w:highlight w:val="none"/>
          <w:lang w:val="en-US" w:eastAsia="zh-CN"/>
        </w:rPr>
        <w:t>,</w:t>
      </w:r>
      <w:r>
        <w:rPr>
          <w:highlight w:val="none"/>
        </w:rPr>
        <w:t xml:space="preserve">违规方将被判违例。两次违规将被判黄牌。 </w:t>
      </w:r>
    </w:p>
    <w:p>
      <w:pPr>
        <w:pStyle w:val="71"/>
        <w:rPr>
          <w:highlight w:val="none"/>
        </w:rPr>
      </w:pPr>
      <w:r>
        <w:rPr>
          <w:rFonts w:hint="eastAsia"/>
          <w:highlight w:val="none"/>
        </w:rPr>
        <w:t xml:space="preserve">机器人在比赛过程中不符合规范 </w:t>
      </w:r>
    </w:p>
    <w:p>
      <w:pPr>
        <w:pStyle w:val="95"/>
        <w:bidi w:val="0"/>
        <w:ind w:left="13" w:leftChars="0" w:firstLine="587" w:firstLineChars="0"/>
        <w:rPr>
          <w:rFonts w:hint="eastAsia"/>
          <w:highlight w:val="none"/>
        </w:rPr>
      </w:pPr>
      <w:r>
        <w:rPr>
          <w:rFonts w:hint="eastAsia"/>
          <w:highlight w:val="none"/>
        </w:rPr>
        <w:t xml:space="preserve">机器人尺寸以赛前双方选手及裁判检查时通过的状态为合格的参赛状态。在比赛过程中，机器人的尺寸、重量等参数须符合相关比赛规范；若因非主观因素造成的机器人尺寸超标，包括被对手抛射场地元素击中或因外力改变，导致机器人尺寸超出比赛尺寸限制和机器人状态变形的情况除外。 </w:t>
      </w:r>
    </w:p>
    <w:p>
      <w:pPr>
        <w:pStyle w:val="27"/>
        <w:numPr>
          <w:ilvl w:val="0"/>
          <w:numId w:val="19"/>
        </w:numPr>
        <w:ind w:firstLineChars="0"/>
        <w:rPr>
          <w:highlight w:val="none"/>
        </w:rPr>
      </w:pPr>
      <w:r>
        <w:rPr>
          <w:highlight w:val="none"/>
        </w:rPr>
        <w:t>违规方将被判</w:t>
      </w:r>
      <w:r>
        <w:rPr>
          <w:b/>
          <w:bCs/>
          <w:highlight w:val="none"/>
        </w:rPr>
        <w:t>红牌。</w:t>
      </w:r>
      <w:r>
        <w:rPr>
          <w:highlight w:val="none"/>
        </w:rPr>
        <w:t xml:space="preserve"> </w:t>
      </w:r>
    </w:p>
    <w:p>
      <w:pPr>
        <w:pStyle w:val="71"/>
        <w:rPr>
          <w:highlight w:val="none"/>
        </w:rPr>
      </w:pPr>
      <w:r>
        <w:rPr>
          <w:rFonts w:hint="eastAsia"/>
          <w:highlight w:val="none"/>
        </w:rPr>
        <w:t xml:space="preserve">违规抛射 </w:t>
      </w:r>
    </w:p>
    <w:p>
      <w:pPr>
        <w:pStyle w:val="95"/>
        <w:bidi w:val="0"/>
        <w:ind w:left="13" w:leftChars="0" w:firstLine="587" w:firstLineChars="0"/>
        <w:rPr>
          <w:rFonts w:hint="eastAsia"/>
          <w:highlight w:val="none"/>
        </w:rPr>
      </w:pPr>
      <w:r>
        <w:rPr>
          <w:rFonts w:hint="eastAsia"/>
          <w:highlight w:val="none"/>
        </w:rPr>
        <w:t>机器人不可将不被允许抛射的场地元素从己方场地上抛向对方场地。(如抛射球瓶、机器人零部件、字母方块等将会触犯此规则)</w:t>
      </w:r>
      <w:r>
        <w:rPr>
          <w:rFonts w:hint="eastAsia"/>
          <w:highlight w:val="none"/>
          <w:lang w:eastAsia="zh-CN"/>
        </w:rPr>
        <w:t>。</w:t>
      </w:r>
      <w:r>
        <w:rPr>
          <w:rFonts w:hint="eastAsia"/>
          <w:highlight w:val="none"/>
        </w:rPr>
        <w:t xml:space="preserve"> </w:t>
      </w:r>
    </w:p>
    <w:p>
      <w:pPr>
        <w:pStyle w:val="27"/>
        <w:numPr>
          <w:ilvl w:val="0"/>
          <w:numId w:val="19"/>
        </w:numPr>
        <w:ind w:firstLineChars="0"/>
        <w:rPr>
          <w:highlight w:val="none"/>
        </w:rPr>
      </w:pPr>
      <w:r>
        <w:rPr>
          <w:highlight w:val="none"/>
        </w:rPr>
        <w:t>违规方将被判黄牌，如造成对方场地元素的变化，需暂停</w:t>
      </w:r>
      <w:r>
        <w:rPr>
          <w:rFonts w:hint="eastAsia"/>
          <w:highlight w:val="none"/>
        </w:rPr>
        <w:t>比赛并且还</w:t>
      </w:r>
      <w:r>
        <w:rPr>
          <w:highlight w:val="none"/>
        </w:rPr>
        <w:t>原</w:t>
      </w:r>
      <w:r>
        <w:rPr>
          <w:rFonts w:hint="eastAsia"/>
          <w:highlight w:val="none"/>
        </w:rPr>
        <w:t>场地道具</w:t>
      </w:r>
      <w:r>
        <w:rPr>
          <w:highlight w:val="none"/>
        </w:rPr>
        <w:t xml:space="preserve">。 </w:t>
      </w:r>
    </w:p>
    <w:p>
      <w:pPr>
        <w:pStyle w:val="71"/>
        <w:rPr>
          <w:rFonts w:hint="eastAsia"/>
          <w:highlight w:val="none"/>
        </w:rPr>
      </w:pPr>
      <w:r>
        <w:rPr>
          <w:rFonts w:hint="eastAsia"/>
          <w:highlight w:val="none"/>
        </w:rPr>
        <w:t>进入对方区域</w:t>
      </w:r>
    </w:p>
    <w:p>
      <w:pPr>
        <w:pStyle w:val="95"/>
        <w:bidi w:val="0"/>
        <w:ind w:left="13" w:leftChars="0" w:firstLine="587" w:firstLineChars="0"/>
        <w:rPr>
          <w:rFonts w:hint="eastAsia"/>
          <w:highlight w:val="none"/>
        </w:rPr>
      </w:pPr>
      <w:r>
        <w:rPr>
          <w:rFonts w:hint="eastAsia"/>
          <w:highlight w:val="none"/>
        </w:rPr>
        <w:t>比赛过程中，机器人</w:t>
      </w:r>
      <w:r>
        <w:rPr>
          <w:rFonts w:hint="eastAsia"/>
          <w:highlight w:val="none"/>
          <w:lang w:val="en-US" w:eastAsia="zh-CN"/>
        </w:rPr>
        <w:t>地盘的</w:t>
      </w:r>
      <w:r>
        <w:rPr>
          <w:rFonts w:hint="eastAsia"/>
          <w:highlight w:val="none"/>
        </w:rPr>
        <w:t>垂直投影面不得以任何形式部分进入对方区域。</w:t>
      </w:r>
    </w:p>
    <w:p>
      <w:pPr>
        <w:pStyle w:val="27"/>
        <w:numPr>
          <w:ilvl w:val="0"/>
          <w:numId w:val="19"/>
        </w:numPr>
        <w:ind w:firstLineChars="0"/>
        <w:rPr>
          <w:highlight w:val="none"/>
        </w:rPr>
      </w:pPr>
      <w:r>
        <w:rPr>
          <w:rFonts w:hint="eastAsia"/>
          <w:highlight w:val="none"/>
        </w:rPr>
        <w:t>违规</w:t>
      </w:r>
      <w:r>
        <w:rPr>
          <w:highlight w:val="none"/>
        </w:rPr>
        <w:t>方将被判</w:t>
      </w:r>
      <w:r>
        <w:rPr>
          <w:rFonts w:hint="eastAsia"/>
          <w:highlight w:val="none"/>
          <w:lang w:val="en-US" w:eastAsia="zh-CN"/>
        </w:rPr>
        <w:t>黄牌</w:t>
      </w:r>
      <w:r>
        <w:rPr>
          <w:rFonts w:hint="eastAsia"/>
          <w:highlight w:val="none"/>
        </w:rPr>
        <w:t>。</w:t>
      </w:r>
      <w:r>
        <w:rPr>
          <w:highlight w:val="none"/>
        </w:rPr>
        <w:t>机器人</w:t>
      </w:r>
      <w:r>
        <w:rPr>
          <w:rFonts w:hint="eastAsia"/>
          <w:highlight w:val="none"/>
          <w:lang w:val="en-US" w:eastAsia="zh-CN"/>
        </w:rPr>
        <w:t>进入对方区域</w:t>
      </w:r>
      <w:r>
        <w:rPr>
          <w:highlight w:val="none"/>
        </w:rPr>
        <w:t>，须在3秒之内返回本方区域，裁判将会进行口头读秒提醒。</w:t>
      </w:r>
    </w:p>
    <w:p>
      <w:pPr>
        <w:pStyle w:val="71"/>
        <w:rPr>
          <w:highlight w:val="none"/>
        </w:rPr>
      </w:pPr>
      <w:r>
        <w:rPr>
          <w:rFonts w:hint="eastAsia"/>
          <w:highlight w:val="none"/>
        </w:rPr>
        <w:t xml:space="preserve">限制对方机器人移动 </w:t>
      </w:r>
    </w:p>
    <w:p>
      <w:pPr>
        <w:pStyle w:val="95"/>
        <w:bidi w:val="0"/>
        <w:ind w:left="13" w:leftChars="0" w:firstLine="587" w:firstLineChars="0"/>
        <w:rPr>
          <w:rFonts w:hint="eastAsia"/>
          <w:highlight w:val="none"/>
        </w:rPr>
      </w:pPr>
      <w:r>
        <w:rPr>
          <w:rFonts w:hint="eastAsia"/>
          <w:highlight w:val="none"/>
        </w:rPr>
        <w:t xml:space="preserve">机器人不可阻止对方联盟机器人的全方位移动或阻止对方联盟机器人接触场地元素。因为机器人部分本体进入对方区域而导致对方联盟机器人被别住或者限制，裁判可视情况暂停比赛，警告双方机器人尽快分离。 </w:t>
      </w:r>
    </w:p>
    <w:p>
      <w:pPr>
        <w:pStyle w:val="27"/>
        <w:numPr>
          <w:ilvl w:val="0"/>
          <w:numId w:val="19"/>
        </w:numPr>
        <w:ind w:firstLineChars="0"/>
        <w:rPr>
          <w:highlight w:val="none"/>
        </w:rPr>
      </w:pPr>
      <w:r>
        <w:rPr>
          <w:highlight w:val="none"/>
        </w:rPr>
        <w:t xml:space="preserve">违规方将被判违例，情节恶劣者将被判黄牌。 </w:t>
      </w:r>
    </w:p>
    <w:p>
      <w:pPr>
        <w:pStyle w:val="71"/>
        <w:rPr>
          <w:highlight w:val="none"/>
        </w:rPr>
      </w:pPr>
      <w:r>
        <w:rPr>
          <w:rFonts w:hint="eastAsia"/>
          <w:highlight w:val="none"/>
        </w:rPr>
        <w:t xml:space="preserve">违规接触 </w:t>
      </w:r>
    </w:p>
    <w:p>
      <w:pPr>
        <w:pStyle w:val="95"/>
        <w:bidi w:val="0"/>
        <w:ind w:left="13" w:leftChars="0" w:firstLine="587" w:firstLineChars="0"/>
        <w:rPr>
          <w:rFonts w:hint="eastAsia"/>
          <w:highlight w:val="none"/>
        </w:rPr>
      </w:pPr>
      <w:r>
        <w:rPr>
          <w:rFonts w:hint="eastAsia"/>
          <w:highlight w:val="none"/>
        </w:rPr>
        <w:t xml:space="preserve">除强化改装阶段外，参赛队员在比赛过程中不得直接接触道具、场地框架等场地元素及机器人，包括且不限于操作手倚靠围栏、参赛队员推动机器人位置等情况。因小黄球等道具的正常运动飞出场地外发生接触的，不受此规则的约束。 </w:t>
      </w:r>
    </w:p>
    <w:p>
      <w:pPr>
        <w:pStyle w:val="27"/>
        <w:numPr>
          <w:ilvl w:val="0"/>
          <w:numId w:val="19"/>
        </w:numPr>
        <w:ind w:firstLineChars="0"/>
        <w:rPr>
          <w:highlight w:val="none"/>
        </w:rPr>
      </w:pPr>
      <w:r>
        <w:rPr>
          <w:highlight w:val="none"/>
        </w:rPr>
        <w:t>违规方将被判违例，若因违规接触对得分或比赛的进行造成影响，违规方将被判黄牌</w:t>
      </w:r>
      <w:r>
        <w:rPr>
          <w:rFonts w:hint="eastAsia"/>
          <w:highlight w:val="none"/>
          <w:lang w:val="en-US" w:eastAsia="zh-CN"/>
        </w:rPr>
        <w:t>,</w:t>
      </w:r>
      <w:r>
        <w:rPr>
          <w:highlight w:val="none"/>
        </w:rPr>
        <w:t>情节恶劣者裁判有权取消</w:t>
      </w:r>
      <w:r>
        <w:rPr>
          <w:rFonts w:hint="eastAsia"/>
          <w:highlight w:val="none"/>
          <w:lang w:val="en-US" w:eastAsia="zh-CN"/>
        </w:rPr>
        <w:t>本场</w:t>
      </w:r>
      <w:r>
        <w:rPr>
          <w:highlight w:val="none"/>
        </w:rPr>
        <w:t>比赛资格。</w:t>
      </w:r>
    </w:p>
    <w:p>
      <w:pPr>
        <w:pStyle w:val="71"/>
        <w:rPr>
          <w:highlight w:val="none"/>
        </w:rPr>
      </w:pPr>
      <w:r>
        <w:rPr>
          <w:rFonts w:hint="eastAsia"/>
          <w:highlight w:val="none"/>
        </w:rPr>
        <w:t xml:space="preserve">身体进入比赛场地影响比赛进行 </w:t>
      </w:r>
    </w:p>
    <w:p>
      <w:pPr>
        <w:pStyle w:val="95"/>
        <w:bidi w:val="0"/>
        <w:ind w:left="13" w:leftChars="0" w:firstLine="587" w:firstLineChars="0"/>
        <w:rPr>
          <w:rFonts w:hint="eastAsia"/>
          <w:highlight w:val="none"/>
        </w:rPr>
      </w:pPr>
      <w:r>
        <w:rPr>
          <w:rFonts w:hint="eastAsia"/>
          <w:highlight w:val="none"/>
        </w:rPr>
        <w:t xml:space="preserve">比赛过程中操作团队应保持身体投影在场地之外，以免可能发生的阻挡对方机器人进攻路线等影响比赛进行的情况。强化改装阶段搬运机器人进出场地的动作除外。 </w:t>
      </w:r>
    </w:p>
    <w:p>
      <w:pPr>
        <w:pStyle w:val="27"/>
        <w:numPr>
          <w:ilvl w:val="0"/>
          <w:numId w:val="19"/>
        </w:numPr>
        <w:ind w:firstLineChars="0"/>
        <w:rPr>
          <w:highlight w:val="none"/>
        </w:rPr>
      </w:pPr>
      <w:r>
        <w:rPr>
          <w:highlight w:val="none"/>
        </w:rPr>
        <w:t xml:space="preserve">违规方将被判违例。两次违规将被判黄牌。  </w:t>
      </w:r>
    </w:p>
    <w:p>
      <w:pPr>
        <w:pStyle w:val="71"/>
        <w:rPr>
          <w:highlight w:val="none"/>
        </w:rPr>
      </w:pPr>
      <w:r>
        <w:rPr>
          <w:rFonts w:hint="eastAsia"/>
          <w:highlight w:val="none"/>
        </w:rPr>
        <w:t xml:space="preserve">违例指导 </w:t>
      </w:r>
    </w:p>
    <w:p>
      <w:pPr>
        <w:pStyle w:val="95"/>
        <w:bidi w:val="0"/>
        <w:ind w:left="13" w:leftChars="0" w:firstLine="587" w:firstLineChars="0"/>
        <w:rPr>
          <w:rFonts w:hint="eastAsia"/>
          <w:highlight w:val="none"/>
        </w:rPr>
      </w:pPr>
      <w:r>
        <w:rPr>
          <w:rFonts w:hint="eastAsia"/>
          <w:highlight w:val="none"/>
        </w:rPr>
        <w:t>在比赛全过程中，除参赛战队成员外任何的相关人员包括但不限于选手的家长或者指导教师均不得通过任何方式进入赛场区并进行任何形式的指导。</w:t>
      </w:r>
    </w:p>
    <w:p>
      <w:pPr>
        <w:pStyle w:val="27"/>
        <w:numPr>
          <w:ilvl w:val="0"/>
          <w:numId w:val="19"/>
        </w:numPr>
        <w:ind w:firstLineChars="0"/>
        <w:rPr>
          <w:highlight w:val="none"/>
        </w:rPr>
      </w:pPr>
      <w:r>
        <w:rPr>
          <w:rStyle w:val="28"/>
          <w:highlight w:val="none"/>
          <w14:scene3d>
            <w14:lightRig w14:rig="threePt" w14:dir="t">
              <w14:rot w14:lat="0" w14:lon="0" w14:rev="0"/>
            </w14:lightRig>
          </w14:scene3d>
        </w:rPr>
        <w:t>违规方将被判警告，若拒不改正，违规方将被判违例，并可视情况加大处罚力度，直至取消</w:t>
      </w:r>
      <w:r>
        <w:rPr>
          <w:rStyle w:val="28"/>
          <w:rFonts w:hint="eastAsia"/>
          <w:highlight w:val="none"/>
          <w:lang w:val="en-US" w:eastAsia="zh-CN"/>
          <w14:scene3d>
            <w14:lightRig w14:rig="threePt" w14:dir="t">
              <w14:rot w14:lat="0" w14:lon="0" w14:rev="0"/>
            </w14:lightRig>
          </w14:scene3d>
        </w:rPr>
        <w:t>本场</w:t>
      </w:r>
      <w:r>
        <w:rPr>
          <w:rStyle w:val="28"/>
          <w:highlight w:val="none"/>
          <w14:scene3d>
            <w14:lightRig w14:rig="threePt" w14:dir="t">
              <w14:rot w14:lat="0" w14:lon="0" w14:rev="0"/>
            </w14:lightRig>
          </w14:scene3d>
        </w:rPr>
        <w:t>比赛资格。</w:t>
      </w:r>
      <w:r>
        <w:rPr>
          <w:highlight w:val="none"/>
        </w:rPr>
        <w:t xml:space="preserve"> </w:t>
      </w:r>
    </w:p>
    <w:p>
      <w:pPr>
        <w:pStyle w:val="71"/>
        <w:rPr>
          <w:highlight w:val="none"/>
        </w:rPr>
      </w:pPr>
      <w:r>
        <w:rPr>
          <w:rFonts w:hint="eastAsia"/>
          <w:highlight w:val="none"/>
        </w:rPr>
        <w:t xml:space="preserve">场外接触 </w:t>
      </w:r>
    </w:p>
    <w:p>
      <w:pPr>
        <w:pStyle w:val="95"/>
        <w:bidi w:val="0"/>
        <w:ind w:left="13" w:leftChars="0" w:firstLine="587" w:firstLineChars="0"/>
        <w:rPr>
          <w:rFonts w:hint="eastAsia"/>
          <w:highlight w:val="none"/>
        </w:rPr>
      </w:pPr>
      <w:r>
        <w:rPr>
          <w:rFonts w:hint="eastAsia"/>
          <w:highlight w:val="none"/>
        </w:rPr>
        <w:t xml:space="preserve">比赛进行过程中参赛队员不允许与场外人员及观赛人员有任何接触，包括但不限于零件、蓝牙手柄的传递。 </w:t>
      </w:r>
    </w:p>
    <w:p>
      <w:pPr>
        <w:pStyle w:val="46"/>
        <w:numPr>
          <w:ilvl w:val="0"/>
          <w:numId w:val="21"/>
        </w:numPr>
        <w:rPr>
          <w:highlight w:val="none"/>
        </w:rPr>
      </w:pPr>
      <w:bookmarkStart w:id="42" w:name="_Toc1557309372_WPSOffice_Level2"/>
      <w:bookmarkStart w:id="43" w:name="_Toc16681"/>
      <w:bookmarkStart w:id="44" w:name="_Toc749496556"/>
      <w:r>
        <w:rPr>
          <w:rFonts w:hint="eastAsia"/>
          <w:highlight w:val="none"/>
          <w:lang w:eastAsia="zh-CN"/>
        </w:rPr>
        <w:t>违规</w:t>
      </w:r>
      <w:r>
        <w:rPr>
          <w:rFonts w:hint="eastAsia"/>
          <w:highlight w:val="none"/>
        </w:rPr>
        <w:t>方将被判违例，二次违规将被取消</w:t>
      </w:r>
      <w:r>
        <w:rPr>
          <w:rFonts w:hint="eastAsia"/>
          <w:highlight w:val="none"/>
          <w:lang w:val="en-US" w:eastAsia="zh-CN"/>
        </w:rPr>
        <w:t>本场</w:t>
      </w:r>
      <w:r>
        <w:rPr>
          <w:rFonts w:hint="eastAsia"/>
          <w:highlight w:val="none"/>
        </w:rPr>
        <w:t>比赛资格</w:t>
      </w:r>
      <w:r>
        <w:rPr>
          <w:highlight w:val="none"/>
        </w:rPr>
        <w:t>。</w:t>
      </w:r>
    </w:p>
    <w:p>
      <w:pPr>
        <w:pStyle w:val="48"/>
        <w:ind w:left="845"/>
        <w:rPr>
          <w:highlight w:val="none"/>
        </w:rPr>
      </w:pPr>
      <w:r>
        <w:rPr>
          <w:rFonts w:hint="eastAsia"/>
          <w:highlight w:val="none"/>
        </w:rPr>
        <w:t>改装规则</w:t>
      </w:r>
      <w:bookmarkEnd w:id="42"/>
      <w:bookmarkEnd w:id="43"/>
      <w:bookmarkEnd w:id="44"/>
    </w:p>
    <w:p>
      <w:pPr>
        <w:pStyle w:val="27"/>
        <w:ind w:firstLine="420" w:firstLineChars="0"/>
        <w:rPr>
          <w:b/>
          <w:bCs/>
          <w:highlight w:val="none"/>
        </w:rPr>
      </w:pPr>
      <w:r>
        <w:rPr>
          <w:b/>
          <w:bCs/>
          <w:highlight w:val="none"/>
        </w:rPr>
        <w:t>对于严重违反此规则的行为，</w:t>
      </w:r>
      <w:r>
        <w:rPr>
          <w:rFonts w:hint="eastAsia"/>
          <w:b/>
          <w:bCs/>
          <w:highlight w:val="none"/>
          <w:lang w:eastAsia="zh-Hans"/>
        </w:rPr>
        <w:t>裁判</w:t>
      </w:r>
      <w:r>
        <w:rPr>
          <w:b/>
          <w:bCs/>
          <w:highlight w:val="none"/>
        </w:rPr>
        <w:t>有权对参赛队做出取消</w:t>
      </w:r>
      <w:r>
        <w:rPr>
          <w:rFonts w:hint="eastAsia"/>
          <w:b/>
          <w:bCs/>
          <w:highlight w:val="none"/>
          <w:lang w:val="en-US" w:eastAsia="zh-CN"/>
        </w:rPr>
        <w:t>本场</w:t>
      </w:r>
      <w:r>
        <w:rPr>
          <w:b/>
          <w:bCs/>
          <w:highlight w:val="none"/>
        </w:rPr>
        <w:t>比赛资格的处罚。</w:t>
      </w:r>
    </w:p>
    <w:p>
      <w:pPr>
        <w:pStyle w:val="71"/>
        <w:rPr>
          <w:highlight w:val="none"/>
        </w:rPr>
      </w:pPr>
      <w:r>
        <w:rPr>
          <w:rFonts w:hint="eastAsia"/>
          <w:highlight w:val="none"/>
        </w:rPr>
        <w:t xml:space="preserve">机器人未进入启动区 </w:t>
      </w:r>
    </w:p>
    <w:p>
      <w:pPr>
        <w:pStyle w:val="95"/>
        <w:bidi w:val="0"/>
        <w:ind w:left="13" w:leftChars="0" w:firstLine="587" w:firstLineChars="0"/>
        <w:rPr>
          <w:rFonts w:hint="eastAsia"/>
          <w:highlight w:val="none"/>
        </w:rPr>
      </w:pPr>
      <w:r>
        <w:rPr>
          <w:rFonts w:hint="eastAsia"/>
          <w:highlight w:val="none"/>
        </w:rPr>
        <w:t xml:space="preserve">手动控制阶段结束时，机器人需在启动区内（部分或完全进入）方可取出机器人进行强化改装。机器人未进入启动区，强化改装阶段内将不被允许进行任何操作。 </w:t>
      </w:r>
    </w:p>
    <w:p>
      <w:pPr>
        <w:pStyle w:val="27"/>
        <w:numPr>
          <w:ilvl w:val="0"/>
          <w:numId w:val="19"/>
        </w:numPr>
        <w:ind w:firstLineChars="0"/>
        <w:rPr>
          <w:highlight w:val="none"/>
        </w:rPr>
      </w:pPr>
      <w:r>
        <w:rPr>
          <w:highlight w:val="none"/>
        </w:rPr>
        <w:t>强行对未进入启动区的机器人进行改装，违规方将被判红牌</w:t>
      </w:r>
      <w:r>
        <w:rPr>
          <w:rFonts w:hint="eastAsia"/>
          <w:highlight w:val="none"/>
          <w:lang w:eastAsia="zh-CN"/>
        </w:rPr>
        <w:t>，</w:t>
      </w:r>
      <w:r>
        <w:rPr>
          <w:rFonts w:hint="eastAsia"/>
          <w:highlight w:val="none"/>
          <w:lang w:val="en-US" w:eastAsia="zh-CN"/>
        </w:rPr>
        <w:t>该机器人被禁用</w:t>
      </w:r>
      <w:r>
        <w:rPr>
          <w:highlight w:val="none"/>
        </w:rPr>
        <w:t xml:space="preserve">。 </w:t>
      </w:r>
    </w:p>
    <w:p>
      <w:pPr>
        <w:pStyle w:val="71"/>
        <w:rPr>
          <w:highlight w:val="none"/>
        </w:rPr>
      </w:pPr>
      <w:r>
        <w:rPr>
          <w:rFonts w:hint="eastAsia"/>
          <w:highlight w:val="none"/>
        </w:rPr>
        <w:t xml:space="preserve">未在指定位置进行改装 </w:t>
      </w:r>
    </w:p>
    <w:p>
      <w:pPr>
        <w:pStyle w:val="95"/>
        <w:bidi w:val="0"/>
        <w:ind w:left="13" w:leftChars="0" w:firstLine="587" w:firstLineChars="0"/>
        <w:rPr>
          <w:rFonts w:hint="eastAsia"/>
          <w:highlight w:val="none"/>
        </w:rPr>
      </w:pPr>
      <w:r>
        <w:rPr>
          <w:rFonts w:hint="eastAsia"/>
          <w:highlight w:val="none"/>
        </w:rPr>
        <w:t xml:space="preserve">只有在机器人投影面离开场地之后，即移出场地后才可以开始改装。即不能在机器人抬离地面，悬空于场地上方的情况下直接开始改装； </w:t>
      </w:r>
    </w:p>
    <w:p>
      <w:pPr>
        <w:pStyle w:val="27"/>
        <w:numPr>
          <w:ilvl w:val="0"/>
          <w:numId w:val="19"/>
        </w:numPr>
        <w:ind w:firstLineChars="0"/>
        <w:rPr>
          <w:highlight w:val="none"/>
        </w:rPr>
      </w:pPr>
      <w:r>
        <w:rPr>
          <w:highlight w:val="none"/>
        </w:rPr>
        <w:t xml:space="preserve">违规方将被判违例。 </w:t>
      </w:r>
    </w:p>
    <w:p>
      <w:pPr>
        <w:pStyle w:val="71"/>
        <w:rPr>
          <w:highlight w:val="none"/>
        </w:rPr>
      </w:pPr>
      <w:r>
        <w:rPr>
          <w:rFonts w:hint="eastAsia"/>
          <w:highlight w:val="none"/>
        </w:rPr>
        <w:t xml:space="preserve">改变场地元素状态 </w:t>
      </w:r>
    </w:p>
    <w:p>
      <w:pPr>
        <w:pStyle w:val="95"/>
        <w:bidi w:val="0"/>
        <w:ind w:left="13" w:leftChars="0" w:firstLine="587" w:firstLineChars="0"/>
        <w:rPr>
          <w:rFonts w:hint="eastAsia"/>
          <w:highlight w:val="none"/>
        </w:rPr>
      </w:pPr>
      <w:r>
        <w:rPr>
          <w:rFonts w:hint="eastAsia"/>
          <w:highlight w:val="none"/>
        </w:rPr>
        <w:t>选手在移出机器人时不可主动改变场地元素状态，不可触碰得分道具（机器人内部得分道具除外例如：小黄球）</w:t>
      </w:r>
      <w:r>
        <w:rPr>
          <w:rFonts w:hint="eastAsia"/>
          <w:highlight w:val="none"/>
          <w:lang w:eastAsia="zh-CN"/>
        </w:rPr>
        <w:t>。</w:t>
      </w:r>
    </w:p>
    <w:p>
      <w:pPr>
        <w:pStyle w:val="27"/>
        <w:numPr>
          <w:ilvl w:val="0"/>
          <w:numId w:val="19"/>
        </w:numPr>
        <w:ind w:firstLineChars="0"/>
        <w:rPr>
          <w:highlight w:val="none"/>
        </w:rPr>
      </w:pPr>
      <w:r>
        <w:rPr>
          <w:highlight w:val="none"/>
        </w:rPr>
        <w:t xml:space="preserve">违规方将被判违例，若改变场地元素为违规方带来比赛优势，裁判应判无效得分，并尽量恢复场地原有状态。 </w:t>
      </w:r>
    </w:p>
    <w:p>
      <w:pPr>
        <w:pStyle w:val="71"/>
        <w:rPr>
          <w:highlight w:val="none"/>
        </w:rPr>
      </w:pPr>
      <w:r>
        <w:rPr>
          <w:rFonts w:hint="eastAsia"/>
          <w:highlight w:val="none"/>
        </w:rPr>
        <w:t xml:space="preserve">强化改装结束时未进入启动区 </w:t>
      </w:r>
    </w:p>
    <w:p>
      <w:pPr>
        <w:pStyle w:val="95"/>
        <w:bidi w:val="0"/>
        <w:ind w:left="13" w:leftChars="0" w:firstLine="587" w:firstLineChars="0"/>
        <w:rPr>
          <w:rFonts w:hint="eastAsia"/>
          <w:highlight w:val="none"/>
        </w:rPr>
      </w:pPr>
      <w:r>
        <w:rPr>
          <w:rFonts w:hint="eastAsia"/>
          <w:highlight w:val="none"/>
        </w:rPr>
        <w:t xml:space="preserve">机器人应在强化改装阶段结束前放入本方场地启动区内。 </w:t>
      </w:r>
    </w:p>
    <w:p>
      <w:pPr>
        <w:pStyle w:val="27"/>
        <w:numPr>
          <w:ilvl w:val="0"/>
          <w:numId w:val="19"/>
        </w:numPr>
        <w:ind w:firstLineChars="0"/>
        <w:rPr>
          <w:highlight w:val="none"/>
        </w:rPr>
      </w:pPr>
      <w:r>
        <w:rPr>
          <w:highlight w:val="none"/>
        </w:rPr>
        <w:t xml:space="preserve">违规方机器人将被判禁用。 </w:t>
      </w:r>
    </w:p>
    <w:p>
      <w:pPr>
        <w:pStyle w:val="71"/>
        <w:rPr>
          <w:highlight w:val="none"/>
        </w:rPr>
      </w:pPr>
      <w:r>
        <w:rPr>
          <w:rStyle w:val="82"/>
          <w:b/>
          <w:highlight w:val="none"/>
        </w:rPr>
        <w:t xml:space="preserve">改装后机器人与检录状态不符 </w:t>
      </w:r>
    </w:p>
    <w:p>
      <w:pPr>
        <w:pStyle w:val="95"/>
        <w:bidi w:val="0"/>
        <w:ind w:left="13" w:leftChars="0" w:firstLine="587" w:firstLineChars="0"/>
        <w:rPr>
          <w:rFonts w:hint="eastAsia"/>
          <w:highlight w:val="none"/>
        </w:rPr>
      </w:pPr>
      <w:r>
        <w:rPr>
          <w:rFonts w:hint="eastAsia"/>
          <w:highlight w:val="none"/>
        </w:rPr>
        <w:t xml:space="preserve">强化改装阶段后的机器人应符合比赛规则要求。 </w:t>
      </w:r>
    </w:p>
    <w:p>
      <w:pPr>
        <w:pStyle w:val="27"/>
        <w:numPr>
          <w:ilvl w:val="0"/>
          <w:numId w:val="19"/>
        </w:numPr>
        <w:ind w:firstLineChars="0"/>
        <w:rPr>
          <w:highlight w:val="none"/>
        </w:rPr>
      </w:pPr>
      <w:r>
        <w:rPr>
          <w:highlight w:val="none"/>
        </w:rPr>
        <w:t>违规方将被判红牌</w:t>
      </w:r>
      <w:r>
        <w:rPr>
          <w:rFonts w:hint="eastAsia"/>
          <w:highlight w:val="none"/>
          <w:lang w:eastAsia="zh-CN"/>
        </w:rPr>
        <w:t>。</w:t>
      </w:r>
    </w:p>
    <w:p>
      <w:pPr>
        <w:rPr>
          <w:highlight w:val="none"/>
        </w:rPr>
      </w:pPr>
      <w:bookmarkStart w:id="45" w:name="_Toc4248"/>
      <w:bookmarkStart w:id="46" w:name="_Toc123407300"/>
      <w:r>
        <w:rPr>
          <w:highlight w:val="none"/>
        </w:rPr>
        <w:br w:type="page"/>
      </w:r>
    </w:p>
    <w:bookmarkEnd w:id="45"/>
    <w:bookmarkEnd w:id="46"/>
    <w:p>
      <w:pPr>
        <w:pStyle w:val="32"/>
        <w:numPr>
          <w:ilvl w:val="0"/>
          <w:numId w:val="0"/>
        </w:numPr>
        <w:spacing w:before="0" w:after="0" w:line="240" w:lineRule="auto"/>
        <w:rPr>
          <w:highlight w:val="none"/>
        </w:rPr>
      </w:pPr>
      <w:bookmarkStart w:id="47" w:name="_Toc14639"/>
      <w:bookmarkStart w:id="48" w:name="_Toc142949297"/>
      <w:r>
        <w:rPr>
          <w:rFonts w:hint="eastAsia"/>
          <w:highlight w:val="none"/>
          <w:lang w:eastAsia="zh-Hans"/>
        </w:rPr>
        <w:t>附录</w:t>
      </w:r>
      <w:r>
        <w:rPr>
          <w:rFonts w:hint="eastAsia"/>
          <w:highlight w:val="none"/>
          <w:lang w:val="en-US" w:eastAsia="zh-CN"/>
        </w:rPr>
        <w:t>1</w:t>
      </w:r>
      <w:r>
        <w:rPr>
          <w:highlight w:val="none"/>
        </w:rPr>
        <w:t>：</w:t>
      </w:r>
      <w:r>
        <w:rPr>
          <w:rFonts w:hint="eastAsia"/>
          <w:highlight w:val="none"/>
        </w:rPr>
        <w:t>MakeX Challenge 能源革新判罚梳理表</w:t>
      </w:r>
    </w:p>
    <w:bookmarkEnd w:id="47"/>
    <w:bookmarkEnd w:id="48"/>
    <w:p>
      <w:pPr>
        <w:pStyle w:val="27"/>
        <w:ind w:left="0" w:leftChars="0" w:firstLine="0" w:firstLineChars="0"/>
        <w:rPr>
          <w:highlight w:val="none"/>
        </w:rPr>
      </w:pPr>
    </w:p>
    <w:tbl>
      <w:tblPr>
        <w:tblStyle w:val="17"/>
        <w:tblW w:w="8484" w:type="dxa"/>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fixed"/>
        <w:tblCellMar>
          <w:top w:w="0" w:type="dxa"/>
          <w:left w:w="10" w:type="dxa"/>
          <w:bottom w:w="0" w:type="dxa"/>
          <w:right w:w="10" w:type="dxa"/>
        </w:tblCellMar>
      </w:tblPr>
      <w:tblGrid>
        <w:gridCol w:w="1571"/>
        <w:gridCol w:w="2547"/>
        <w:gridCol w:w="616"/>
        <w:gridCol w:w="550"/>
        <w:gridCol w:w="584"/>
        <w:gridCol w:w="584"/>
        <w:gridCol w:w="941"/>
        <w:gridCol w:w="1091"/>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blHeader/>
        </w:trPr>
        <w:tc>
          <w:tcPr>
            <w:tcW w:w="1571" w:type="dxa"/>
            <w:shd w:val="clear" w:color="auto" w:fill="F1F1F1"/>
            <w:vAlign w:val="center"/>
          </w:tcPr>
          <w:p>
            <w:pPr>
              <w:jc w:val="center"/>
              <w:rPr>
                <w:rFonts w:ascii="思源黑体 CN Normal" w:hAnsi="思源黑体 CN Normal" w:eastAsia="思源黑体 CN Normal" w:cs="Arial"/>
                <w:b/>
                <w:bCs/>
              </w:rPr>
            </w:pPr>
            <w:bookmarkStart w:id="49" w:name="_Toc497351146_WPSOffice_Level1"/>
            <w:bookmarkStart w:id="50" w:name="_Toc1662117333"/>
            <w:bookmarkStart w:id="51" w:name="_Toc10319"/>
            <w:r>
              <w:rPr>
                <w:rFonts w:ascii="思源黑体 CN Normal" w:hAnsi="思源黑体 CN Normal" w:eastAsia="思源黑体 CN Normal" w:cs="Times New Roman"/>
                <w:b/>
                <w:bCs/>
              </w:rPr>
              <w:t>违规项目</w:t>
            </w:r>
          </w:p>
        </w:tc>
        <w:tc>
          <w:tcPr>
            <w:tcW w:w="2547" w:type="dxa"/>
            <w:shd w:val="clear" w:color="auto" w:fill="F1F1F1"/>
            <w:vAlign w:val="center"/>
          </w:tcPr>
          <w:p>
            <w:pPr>
              <w:jc w:val="center"/>
              <w:rPr>
                <w:rFonts w:ascii="思源黑体 CN Normal" w:hAnsi="思源黑体 CN Normal" w:eastAsia="思源黑体 CN Normal" w:cs="Arial"/>
                <w:b/>
                <w:bCs/>
              </w:rPr>
            </w:pPr>
            <w:r>
              <w:rPr>
                <w:rFonts w:ascii="思源黑体 CN Normal" w:hAnsi="思源黑体 CN Normal" w:eastAsia="思源黑体 CN Normal" w:cs="Times New Roman"/>
                <w:b/>
                <w:bCs/>
              </w:rPr>
              <w:t>规则概述</w:t>
            </w:r>
          </w:p>
        </w:tc>
        <w:tc>
          <w:tcPr>
            <w:tcW w:w="616" w:type="dxa"/>
            <w:shd w:val="clear" w:color="auto" w:fill="F1F1F1"/>
            <w:vAlign w:val="center"/>
          </w:tcPr>
          <w:p>
            <w:pPr>
              <w:jc w:val="center"/>
              <w:rPr>
                <w:rFonts w:ascii="思源黑体 CN Normal" w:hAnsi="思源黑体 CN Normal" w:eastAsia="思源黑体 CN Normal" w:cs="Arial"/>
                <w:b/>
                <w:bCs/>
              </w:rPr>
            </w:pPr>
            <w:r>
              <w:rPr>
                <w:rFonts w:ascii="思源黑体 CN Normal" w:hAnsi="思源黑体 CN Normal" w:eastAsia="思源黑体 CN Normal" w:cs="Times New Roman"/>
                <w:b/>
                <w:bCs/>
              </w:rPr>
              <w:t>违例</w:t>
            </w:r>
          </w:p>
        </w:tc>
        <w:tc>
          <w:tcPr>
            <w:tcW w:w="550" w:type="dxa"/>
            <w:shd w:val="clear" w:color="auto" w:fill="F1F1F1"/>
            <w:vAlign w:val="center"/>
          </w:tcPr>
          <w:p>
            <w:pPr>
              <w:jc w:val="center"/>
              <w:rPr>
                <w:rFonts w:ascii="思源黑体 CN Normal" w:hAnsi="思源黑体 CN Normal" w:eastAsia="思源黑体 CN Normal" w:cs="Arial"/>
                <w:b/>
                <w:bCs/>
              </w:rPr>
            </w:pPr>
            <w:r>
              <w:rPr>
                <w:rFonts w:ascii="思源黑体 CN Normal" w:hAnsi="思源黑体 CN Normal" w:eastAsia="思源黑体 CN Normal" w:cs="Times New Roman"/>
                <w:b/>
                <w:bCs/>
              </w:rPr>
              <w:t>黄牌</w:t>
            </w:r>
          </w:p>
        </w:tc>
        <w:tc>
          <w:tcPr>
            <w:tcW w:w="584" w:type="dxa"/>
            <w:shd w:val="clear" w:color="auto" w:fill="F1F1F1"/>
            <w:vAlign w:val="center"/>
          </w:tcPr>
          <w:p>
            <w:pPr>
              <w:jc w:val="center"/>
              <w:rPr>
                <w:rFonts w:ascii="思源黑体 CN Normal" w:hAnsi="思源黑体 CN Normal" w:eastAsia="思源黑体 CN Normal" w:cs="Times New Roman"/>
                <w:b/>
                <w:bCs/>
              </w:rPr>
            </w:pPr>
            <w:r>
              <w:rPr>
                <w:rFonts w:ascii="思源黑体 CN Normal" w:hAnsi="思源黑体 CN Normal" w:eastAsia="思源黑体 CN Normal" w:cs="Times New Roman"/>
                <w:b/>
                <w:bCs/>
              </w:rPr>
              <w:t>禁用</w:t>
            </w:r>
          </w:p>
        </w:tc>
        <w:tc>
          <w:tcPr>
            <w:tcW w:w="584" w:type="dxa"/>
            <w:shd w:val="clear" w:color="auto" w:fill="F1F1F1"/>
            <w:vAlign w:val="center"/>
          </w:tcPr>
          <w:p>
            <w:pPr>
              <w:jc w:val="center"/>
              <w:rPr>
                <w:rFonts w:ascii="思源黑体 CN Normal" w:hAnsi="思源黑体 CN Normal" w:eastAsia="思源黑体 CN Normal" w:cs="Arial"/>
                <w:b/>
                <w:bCs/>
              </w:rPr>
            </w:pPr>
            <w:r>
              <w:rPr>
                <w:rFonts w:ascii="思源黑体 CN Normal" w:hAnsi="思源黑体 CN Normal" w:eastAsia="思源黑体 CN Normal" w:cs="Times New Roman"/>
                <w:b/>
                <w:bCs/>
              </w:rPr>
              <w:t>红牌</w:t>
            </w:r>
          </w:p>
        </w:tc>
        <w:tc>
          <w:tcPr>
            <w:tcW w:w="941" w:type="dxa"/>
            <w:shd w:val="clear" w:color="auto" w:fill="F1F1F1"/>
            <w:vAlign w:val="center"/>
          </w:tcPr>
          <w:p>
            <w:pPr>
              <w:jc w:val="center"/>
              <w:rPr>
                <w:rFonts w:hint="eastAsia" w:ascii="思源黑体 CN Normal" w:hAnsi="思源黑体 CN Normal" w:eastAsia="思源黑体 CN Normal" w:cs="Times New Roman"/>
                <w:b/>
                <w:bCs/>
                <w:color w:val="000000"/>
                <w:lang w:val="en-US" w:eastAsia="zh-CN"/>
              </w:rPr>
            </w:pPr>
            <w:r>
              <w:rPr>
                <w:rFonts w:ascii="思源黑体 CN Normal" w:hAnsi="思源黑体 CN Normal" w:eastAsia="思源黑体 CN Normal" w:cs="Times New Roman"/>
                <w:b/>
                <w:bCs/>
                <w:color w:val="000000"/>
              </w:rPr>
              <w:t>取消</w:t>
            </w:r>
            <w:r>
              <w:rPr>
                <w:rFonts w:hint="eastAsia" w:ascii="思源黑体 CN Normal" w:hAnsi="思源黑体 CN Normal" w:eastAsia="思源黑体 CN Normal" w:cs="Times New Roman"/>
                <w:b/>
                <w:bCs/>
                <w:color w:val="000000"/>
                <w:lang w:val="en-US" w:eastAsia="zh-CN"/>
              </w:rPr>
              <w:t>本场</w:t>
            </w:r>
          </w:p>
          <w:p>
            <w:pPr>
              <w:jc w:val="center"/>
              <w:rPr>
                <w:rFonts w:ascii="思源黑体 CN Normal" w:hAnsi="思源黑体 CN Normal" w:eastAsia="思源黑体 CN Normal" w:cs="Times New Roman"/>
                <w:b/>
                <w:bCs/>
                <w:color w:val="000000"/>
              </w:rPr>
            </w:pPr>
            <w:r>
              <w:rPr>
                <w:rFonts w:ascii="思源黑体 CN Normal" w:hAnsi="思源黑体 CN Normal" w:eastAsia="思源黑体 CN Normal" w:cs="Times New Roman"/>
                <w:b/>
                <w:bCs/>
                <w:color w:val="000000"/>
              </w:rPr>
              <w:t>比赛资格</w:t>
            </w:r>
          </w:p>
        </w:tc>
        <w:tc>
          <w:tcPr>
            <w:tcW w:w="1091" w:type="dxa"/>
            <w:shd w:val="clear" w:color="auto" w:fill="F1F1F1"/>
            <w:vAlign w:val="center"/>
          </w:tcPr>
          <w:p>
            <w:pPr>
              <w:jc w:val="center"/>
              <w:rPr>
                <w:rFonts w:hint="eastAsia" w:ascii="思源黑体 CN Normal" w:hAnsi="思源黑体 CN Normal" w:eastAsia="思源黑体 CN Normal" w:cs="Times New Roman"/>
                <w:b/>
                <w:bCs/>
                <w:color w:val="000000"/>
                <w:lang w:val="en-US" w:eastAsia="zh-CN"/>
              </w:rPr>
            </w:pPr>
            <w:r>
              <w:rPr>
                <w:rFonts w:ascii="思源黑体 CN Normal" w:hAnsi="思源黑体 CN Normal" w:eastAsia="思源黑体 CN Normal" w:cs="Times New Roman"/>
                <w:b/>
                <w:bCs/>
                <w:color w:val="000000"/>
              </w:rPr>
              <w:t>取消</w:t>
            </w:r>
            <w:r>
              <w:rPr>
                <w:rFonts w:hint="eastAsia" w:ascii="思源黑体 CN Normal" w:hAnsi="思源黑体 CN Normal" w:eastAsia="思源黑体 CN Normal" w:cs="Times New Roman"/>
                <w:b/>
                <w:bCs/>
                <w:color w:val="000000"/>
                <w:lang w:val="en-US" w:eastAsia="zh-CN"/>
              </w:rPr>
              <w:t>全场</w:t>
            </w:r>
          </w:p>
          <w:p>
            <w:pPr>
              <w:jc w:val="center"/>
              <w:rPr>
                <w:rFonts w:ascii="思源黑体 CN Normal" w:hAnsi="思源黑体 CN Normal" w:eastAsia="思源黑体 CN Normal" w:cs="Arial"/>
                <w:b/>
                <w:bCs/>
              </w:rPr>
            </w:pPr>
            <w:r>
              <w:rPr>
                <w:rFonts w:ascii="思源黑体 CN Normal" w:hAnsi="思源黑体 CN Normal" w:eastAsia="思源黑体 CN Normal" w:cs="Times New Roman"/>
                <w:b/>
                <w:bCs/>
                <w:color w:val="000000"/>
              </w:rPr>
              <w:t>比赛资格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77" w:hRule="atLeast"/>
        </w:trPr>
        <w:tc>
          <w:tcPr>
            <w:tcW w:w="1571" w:type="dxa"/>
            <w:shd w:val="clear" w:color="auto" w:fill="FFFFFF"/>
            <w:vAlign w:val="center"/>
          </w:tcPr>
          <w:p>
            <w:pPr>
              <w:jc w:val="center"/>
              <w:rPr>
                <w:rFonts w:hint="default" w:ascii="思源黑体 CN Regular" w:hAnsi="思源黑体 CN Regular" w:eastAsia="思源黑体 CN Regular" w:cs="Arial"/>
                <w:lang w:val="en-US" w:eastAsia="zh-CN"/>
              </w:rPr>
            </w:pPr>
            <w:r>
              <w:rPr>
                <w:rFonts w:hint="eastAsia" w:ascii="思源黑体 CN Regular" w:hAnsi="思源黑体 CN Regular" w:eastAsia="思源黑体 CN Regular" w:cs="Arial"/>
                <w:lang w:val="en-US" w:eastAsia="zh-CN"/>
              </w:rPr>
              <w:t>危险结构</w:t>
            </w:r>
          </w:p>
        </w:tc>
        <w:tc>
          <w:tcPr>
            <w:tcW w:w="2547" w:type="dxa"/>
            <w:shd w:val="clear" w:color="auto" w:fill="FFFFFF"/>
            <w:vAlign w:val="center"/>
          </w:tcPr>
          <w:p>
            <w:pPr>
              <w:jc w:val="left"/>
              <w:rPr>
                <w:rFonts w:hint="eastAsia" w:ascii="思源黑体 CN Normal" w:hAnsi="思源黑体 CN Normal" w:eastAsia="思源黑体 CN Normal" w:cs="Times New Roman"/>
              </w:rPr>
            </w:pPr>
            <w:r>
              <w:rPr>
                <w:rFonts w:hint="eastAsia" w:ascii="思源黑体 CN Normal" w:hAnsi="思源黑体 CN Normal" w:eastAsia="思源黑体 CN Normal" w:cs="Times New Roman"/>
              </w:rPr>
              <w:t>违规机器人将被判警告，选手需要对机器人进行整改，否则机器人将被禁用。</w:t>
            </w:r>
          </w:p>
        </w:tc>
        <w:tc>
          <w:tcPr>
            <w:tcW w:w="616" w:type="dxa"/>
            <w:shd w:val="clear" w:color="auto" w:fill="FFFFFF"/>
            <w:vAlign w:val="center"/>
          </w:tcPr>
          <w:p>
            <w:pPr>
              <w:jc w:val="center"/>
              <w:rPr>
                <w:rFonts w:ascii="思源黑体 CN Normal" w:hAnsi="思源黑体 CN Normal" w:eastAsia="思源黑体 CN Normal" w:cs="Times New Roman"/>
              </w:rPr>
            </w:pPr>
          </w:p>
        </w:tc>
        <w:tc>
          <w:tcPr>
            <w:tcW w:w="550" w:type="dxa"/>
            <w:shd w:val="clear" w:color="auto" w:fill="FFFFFF"/>
            <w:vAlign w:val="center"/>
          </w:tcPr>
          <w:p>
            <w:pPr>
              <w:jc w:val="center"/>
              <w:rPr>
                <w:rFonts w:ascii="思源黑体 CN Normal" w:hAnsi="思源黑体 CN Normal" w:eastAsia="思源黑体 CN Normal" w:cs="Times New Roman"/>
              </w:rPr>
            </w:pPr>
          </w:p>
        </w:tc>
        <w:tc>
          <w:tcPr>
            <w:tcW w:w="584" w:type="dxa"/>
            <w:shd w:val="clear" w:color="auto" w:fill="FFFFFF"/>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shd w:val="clear" w:color="auto" w:fill="FFFFFF"/>
            <w:vAlign w:val="center"/>
          </w:tcPr>
          <w:p>
            <w:pPr>
              <w:jc w:val="center"/>
              <w:rPr>
                <w:rFonts w:ascii="思源黑体 CN Normal" w:hAnsi="思源黑体 CN Normal" w:eastAsia="思源黑体 CN Normal" w:cs="Times New Roman"/>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77" w:hRule="atLeast"/>
        </w:trPr>
        <w:tc>
          <w:tcPr>
            <w:tcW w:w="1571" w:type="dxa"/>
            <w:shd w:val="clear" w:color="auto" w:fill="FFFFFF"/>
            <w:vAlign w:val="center"/>
          </w:tcPr>
          <w:p>
            <w:pPr>
              <w:jc w:val="center"/>
              <w:rPr>
                <w:rFonts w:ascii="思源黑体 CN Normal" w:hAnsi="思源黑体 CN Normal" w:eastAsia="思源黑体 CN Normal" w:cs="Times New Roman"/>
                <w:color w:val="000000"/>
              </w:rPr>
            </w:pPr>
            <w:r>
              <w:rPr>
                <w:rFonts w:hint="eastAsia" w:ascii="思源黑体 CN Regular" w:hAnsi="思源黑体 CN Regular" w:eastAsia="思源黑体 CN Regular" w:cs="Arial"/>
              </w:rPr>
              <w:t>破坏或污染场地</w:t>
            </w:r>
          </w:p>
        </w:tc>
        <w:tc>
          <w:tcPr>
            <w:tcW w:w="2547" w:type="dxa"/>
            <w:shd w:val="clear" w:color="auto" w:fill="FFFFFF"/>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 xml:space="preserve">违规方机器人将被判本场比赛禁用，两次违规将被判取消全场比赛资格。 </w:t>
            </w:r>
          </w:p>
        </w:tc>
        <w:tc>
          <w:tcPr>
            <w:tcW w:w="616" w:type="dxa"/>
            <w:shd w:val="clear" w:color="auto" w:fill="FFFFFF"/>
            <w:vAlign w:val="center"/>
          </w:tcPr>
          <w:p>
            <w:pPr>
              <w:jc w:val="center"/>
              <w:rPr>
                <w:rFonts w:ascii="思源黑体 CN Normal" w:hAnsi="思源黑体 CN Normal" w:eastAsia="思源黑体 CN Normal" w:cs="Times New Roman"/>
              </w:rPr>
            </w:pPr>
          </w:p>
        </w:tc>
        <w:tc>
          <w:tcPr>
            <w:tcW w:w="550" w:type="dxa"/>
            <w:shd w:val="clear" w:color="auto" w:fill="FFFFFF"/>
            <w:vAlign w:val="center"/>
          </w:tcPr>
          <w:p>
            <w:pPr>
              <w:jc w:val="center"/>
              <w:rPr>
                <w:rFonts w:ascii="思源黑体 CN Normal" w:hAnsi="思源黑体 CN Normal" w:eastAsia="思源黑体 CN Normal" w:cs="Times New Roman"/>
              </w:rPr>
            </w:pPr>
          </w:p>
        </w:tc>
        <w:tc>
          <w:tcPr>
            <w:tcW w:w="584" w:type="dxa"/>
            <w:shd w:val="clear" w:color="auto" w:fill="FFFFFF"/>
            <w:vAlign w:val="center"/>
          </w:tcPr>
          <w:p>
            <w:pPr>
              <w:jc w:val="center"/>
              <w:rPr>
                <w:rFonts w:ascii="思源黑体 CN Normal" w:hAnsi="思源黑体 CN Normal" w:eastAsia="思源黑体 CN Normal" w:cs="Times New Roman"/>
              </w:rPr>
            </w:pPr>
            <w:r>
              <w:rPr>
                <w:rFonts w:ascii="Segoe UI Emoji" w:hAnsi="Segoe UI Emoji" w:eastAsia="思源黑体 CN Normal" w:cs="Segoe UI Emoji"/>
              </w:rPr>
              <w:t>✔</w:t>
            </w:r>
          </w:p>
        </w:tc>
        <w:tc>
          <w:tcPr>
            <w:tcW w:w="584" w:type="dxa"/>
            <w:shd w:val="clear" w:color="auto" w:fill="FFFFFF"/>
            <w:vAlign w:val="center"/>
          </w:tcPr>
          <w:p>
            <w:pPr>
              <w:jc w:val="center"/>
              <w:rPr>
                <w:rFonts w:ascii="思源黑体 CN Normal" w:hAnsi="思源黑体 CN Normal" w:eastAsia="思源黑体 CN Normal" w:cs="Times New Roman"/>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cs="Times New Roman"/>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Times New Roman"/>
                <w:color w:val="000000"/>
              </w:rPr>
              <w:t>破坏其它机器人</w:t>
            </w:r>
          </w:p>
        </w:tc>
        <w:tc>
          <w:tcPr>
            <w:tcW w:w="2547" w:type="dxa"/>
            <w:shd w:val="clear" w:color="auto" w:fill="FFFFFF"/>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违规方机器人将被判本场比赛禁用，两次违规将被判取消全场比赛资格。</w:t>
            </w:r>
          </w:p>
        </w:tc>
        <w:tc>
          <w:tcPr>
            <w:tcW w:w="616" w:type="dxa"/>
            <w:shd w:val="clear" w:color="auto" w:fill="FFFFFF"/>
            <w:vAlign w:val="center"/>
          </w:tcPr>
          <w:p>
            <w:pPr>
              <w:jc w:val="center"/>
              <w:rPr>
                <w:rFonts w:ascii="思源黑体 CN Normal" w:hAnsi="思源黑体 CN Normal" w:eastAsia="思源黑体 CN Normal" w:cs="Arial"/>
              </w:rPr>
            </w:pPr>
          </w:p>
        </w:tc>
        <w:tc>
          <w:tcPr>
            <w:tcW w:w="550"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shd w:val="clear" w:color="auto" w:fill="FFFFFF"/>
            <w:vAlign w:val="center"/>
          </w:tcPr>
          <w:p>
            <w:pPr>
              <w:jc w:val="center"/>
              <w:rPr>
                <w:rFonts w:ascii="思源黑体 CN Normal" w:hAnsi="思源黑体 CN Normal" w:eastAsia="思源黑体 CN Normal" w:cs="Ari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Times New Roman"/>
                <w:color w:val="000000"/>
              </w:rPr>
              <w:t>机器人出界</w:t>
            </w:r>
          </w:p>
        </w:tc>
        <w:tc>
          <w:tcPr>
            <w:tcW w:w="2547" w:type="dxa"/>
            <w:shd w:val="clear" w:color="auto" w:fill="FFFFFF"/>
            <w:vAlign w:val="center"/>
          </w:tcPr>
          <w:p>
            <w:pPr>
              <w:jc w:val="left"/>
              <w:rPr>
                <w:rFonts w:hint="eastAsia" w:ascii="思源黑体 CN Normal" w:hAnsi="思源黑体 CN Normal" w:eastAsia="思源黑体 CN Regular" w:cs="Arial"/>
                <w:lang w:eastAsia="zh-CN"/>
              </w:rPr>
            </w:pPr>
            <w:r>
              <w:rPr>
                <w:rFonts w:hint="eastAsia" w:ascii="思源黑体 CN Normal" w:hAnsi="思源黑体 CN Normal" w:eastAsia="思源黑体 CN Normal" w:cs="Arial"/>
                <w:lang w:eastAsia="zh-CN"/>
              </w:rPr>
              <w:t>未按时返回的战队将被判违例，</w:t>
            </w:r>
            <w:r>
              <w:rPr>
                <w:rFonts w:hint="eastAsia" w:ascii="思源黑体 CN Normal" w:hAnsi="思源黑体 CN Normal" w:eastAsia="思源黑体 CN Normal" w:cs="Arial"/>
                <w:lang w:val="en-US" w:eastAsia="zh-CN"/>
              </w:rPr>
              <w:t>两次</w:t>
            </w:r>
            <w:r>
              <w:rPr>
                <w:rFonts w:hint="eastAsia" w:ascii="思源黑体 CN Normal" w:hAnsi="思源黑体 CN Normal" w:eastAsia="思源黑体 CN Normal" w:cs="Arial"/>
                <w:lang w:eastAsia="zh-CN"/>
              </w:rPr>
              <w:t>违规者将被判取消</w:t>
            </w:r>
            <w:r>
              <w:rPr>
                <w:rFonts w:hint="eastAsia" w:ascii="思源黑体 CN Normal" w:hAnsi="思源黑体 CN Normal" w:eastAsia="思源黑体 CN Normal" w:cs="Arial"/>
                <w:lang w:val="en-US" w:eastAsia="zh-CN"/>
              </w:rPr>
              <w:t>本场</w:t>
            </w:r>
            <w:r>
              <w:rPr>
                <w:rFonts w:hint="eastAsia" w:ascii="思源黑体 CN Normal" w:hAnsi="思源黑体 CN Normal" w:eastAsia="思源黑体 CN Normal" w:cs="Arial"/>
                <w:lang w:eastAsia="zh-CN"/>
              </w:rPr>
              <w:t>比赛资格。</w:t>
            </w:r>
          </w:p>
        </w:tc>
        <w:tc>
          <w:tcPr>
            <w:tcW w:w="616"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p>
        </w:tc>
        <w:tc>
          <w:tcPr>
            <w:tcW w:w="941" w:type="dxa"/>
            <w:shd w:val="clear" w:color="auto" w:fill="FFFFFF"/>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使用违规材料</w:t>
            </w:r>
          </w:p>
        </w:tc>
        <w:tc>
          <w:tcPr>
            <w:tcW w:w="2547" w:type="dxa"/>
            <w:shd w:val="clear" w:color="auto" w:fill="FFFFFF"/>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违规方机器人将被判禁用。如果机器人还要参加比赛，选手需要对机器人进行整改，并接受再次检查。两次违规将被判取消全场比赛资格。</w:t>
            </w:r>
          </w:p>
        </w:tc>
        <w:tc>
          <w:tcPr>
            <w:tcW w:w="616" w:type="dxa"/>
            <w:shd w:val="clear" w:color="auto" w:fill="FFFFFF"/>
            <w:vAlign w:val="center"/>
          </w:tcPr>
          <w:p>
            <w:pPr>
              <w:jc w:val="center"/>
              <w:rPr>
                <w:rFonts w:ascii="思源黑体 CN Normal" w:hAnsi="思源黑体 CN Normal" w:eastAsia="思源黑体 CN Normal" w:cs="Arial"/>
              </w:rPr>
            </w:pPr>
          </w:p>
        </w:tc>
        <w:tc>
          <w:tcPr>
            <w:tcW w:w="550"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shd w:val="clear" w:color="auto" w:fill="FFFFFF"/>
            <w:vAlign w:val="center"/>
          </w:tcPr>
          <w:p>
            <w:pPr>
              <w:jc w:val="center"/>
              <w:rPr>
                <w:rFonts w:ascii="思源黑体 CN Normal" w:hAnsi="思源黑体 CN Normal" w:eastAsia="思源黑体 CN Normal" w:cs="Ari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其他不安全因素</w:t>
            </w:r>
          </w:p>
        </w:tc>
        <w:tc>
          <w:tcPr>
            <w:tcW w:w="2547" w:type="dxa"/>
            <w:shd w:val="clear" w:color="auto" w:fill="FFFFFF"/>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违规方机器人将被判禁用。如果机器人还要参加比赛，选手需要对机器人进行整改，并接受再次检查。两次违规将被判取消全场比赛资格。</w:t>
            </w:r>
          </w:p>
        </w:tc>
        <w:tc>
          <w:tcPr>
            <w:tcW w:w="616" w:type="dxa"/>
            <w:shd w:val="clear" w:color="auto" w:fill="FFFFFF"/>
            <w:vAlign w:val="center"/>
          </w:tcPr>
          <w:p>
            <w:pPr>
              <w:jc w:val="center"/>
              <w:rPr>
                <w:rFonts w:ascii="思源黑体 CN Normal" w:hAnsi="思源黑体 CN Normal" w:eastAsia="思源黑体 CN Normal" w:cs="Arial"/>
              </w:rPr>
            </w:pPr>
          </w:p>
        </w:tc>
        <w:tc>
          <w:tcPr>
            <w:tcW w:w="550"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shd w:val="clear" w:color="auto" w:fill="FFFFFF"/>
            <w:vAlign w:val="center"/>
          </w:tcPr>
          <w:p>
            <w:pPr>
              <w:jc w:val="center"/>
              <w:rPr>
                <w:rFonts w:ascii="思源黑体 CN Normal" w:hAnsi="思源黑体 CN Normal" w:eastAsia="思源黑体 CN Normal" w:cs="Arial"/>
              </w:rPr>
            </w:pPr>
          </w:p>
        </w:tc>
        <w:tc>
          <w:tcPr>
            <w:tcW w:w="941" w:type="dxa"/>
            <w:shd w:val="clear" w:color="auto" w:fill="FFFFFF"/>
            <w:vAlign w:val="center"/>
          </w:tcPr>
          <w:p>
            <w:pPr>
              <w:jc w:val="center"/>
              <w:rPr>
                <w:rFonts w:ascii="Segoe UI Emoji" w:hAnsi="Segoe UI Emoji" w:eastAsia="思源黑体 CN Normal" w:cs="Segoe UI Emoji"/>
              </w:rPr>
            </w:pPr>
          </w:p>
        </w:tc>
        <w:tc>
          <w:tcPr>
            <w:tcW w:w="1091" w:type="dxa"/>
            <w:shd w:val="clear" w:color="auto" w:fill="FFFFFF"/>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参赛队员要求</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违规方将被判取消本场比赛资格，选手需要进行整改，并接受再次检查。两次违规将被判取消全场比赛资格。</w:t>
            </w:r>
          </w:p>
        </w:tc>
        <w:tc>
          <w:tcPr>
            <w:tcW w:w="616" w:type="dxa"/>
            <w:vAlign w:val="center"/>
          </w:tcPr>
          <w:p>
            <w:pPr>
              <w:jc w:val="center"/>
              <w:rPr>
                <w:rFonts w:ascii="思源黑体 CN Normal" w:hAnsi="思源黑体 CN Normal" w:eastAsia="思源黑体 CN Normal" w:cs="Arial"/>
              </w:rPr>
            </w:pP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kern w:val="2"/>
                <w:szCs w:val="22"/>
                <w:lang w:val="en-US" w:eastAsia="zh-CN" w:bidi="ar-SA"/>
              </w:rPr>
            </w:pPr>
          </w:p>
        </w:tc>
        <w:tc>
          <w:tcPr>
            <w:tcW w:w="584" w:type="dxa"/>
            <w:vAlign w:val="center"/>
          </w:tcPr>
          <w:p>
            <w:pPr>
              <w:jc w:val="center"/>
              <w:rPr>
                <w:rFonts w:ascii="思源黑体 CN Normal" w:hAnsi="思源黑体 CN Normal" w:eastAsia="思源黑体 CN Normal" w:cs="Arial"/>
                <w:kern w:val="2"/>
                <w:szCs w:val="22"/>
                <w:lang w:val="en-US" w:eastAsia="zh-CN" w:bidi="ar-SA"/>
              </w:rPr>
            </w:pPr>
          </w:p>
        </w:tc>
        <w:tc>
          <w:tcPr>
            <w:tcW w:w="941" w:type="dxa"/>
            <w:shd w:val="clear" w:color="auto" w:fill="FFFFFF"/>
            <w:vAlign w:val="center"/>
          </w:tcPr>
          <w:p>
            <w:pPr>
              <w:jc w:val="center"/>
              <w:rPr>
                <w:rFonts w:ascii="思源黑体 CN Normal" w:hAnsi="思源黑体 CN Normal" w:eastAsia="思源黑体 CN Normal" w:cs="Arial"/>
                <w:kern w:val="2"/>
                <w:szCs w:val="22"/>
                <w:lang w:val="en-US" w:eastAsia="zh-CN" w:bidi="ar-SA"/>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cs="Arial"/>
                <w:kern w:val="2"/>
                <w:szCs w:val="22"/>
                <w:lang w:val="en-US" w:eastAsia="zh-CN" w:bidi="ar-SA"/>
              </w:rPr>
            </w:pPr>
            <w:r>
              <w:rPr>
                <w:rFonts w:ascii="Segoe UI Emoji" w:hAnsi="Segoe UI Emoji" w:eastAsia="思源黑体 CN Normal" w:cs="Segoe UI Emoji"/>
              </w:rPr>
              <w:t>✔</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hint="eastAsia" w:ascii="思源黑体 CN Normal" w:hAnsi="思源黑体 CN Normal" w:eastAsia="思源黑体 CN Normal" w:cs="Arial"/>
              </w:rPr>
            </w:pPr>
            <w:r>
              <w:rPr>
                <w:rFonts w:hint="eastAsia" w:ascii="思源黑体 CN Normal" w:hAnsi="思源黑体 CN Normal" w:eastAsia="思源黑体 CN Normal" w:cs="Arial"/>
              </w:rPr>
              <w:t>未按时到达赛场</w:t>
            </w:r>
          </w:p>
        </w:tc>
        <w:tc>
          <w:tcPr>
            <w:tcW w:w="2547" w:type="dxa"/>
            <w:vAlign w:val="center"/>
          </w:tcPr>
          <w:p>
            <w:pPr>
              <w:jc w:val="left"/>
              <w:rPr>
                <w:rFonts w:hint="eastAsia" w:ascii="思源黑体 CN Normal" w:hAnsi="思源黑体 CN Normal" w:eastAsia="思源黑体 CN Normal" w:cs="Arial"/>
                <w:lang w:val="en-US" w:eastAsia="zh-CN"/>
              </w:rPr>
            </w:pPr>
            <w:r>
              <w:rPr>
                <w:rFonts w:hint="eastAsia" w:ascii="思源黑体 CN Normal" w:hAnsi="思源黑体 CN Normal" w:eastAsia="思源黑体 CN Normal" w:cs="Arial"/>
                <w:lang w:val="en-US" w:eastAsia="zh-CN"/>
              </w:rPr>
              <w:t>违规方将被判取消本场比赛资格。</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hint="eastAsia" w:ascii="思源黑体 CN Normal" w:hAnsi="思源黑体 CN Normal" w:eastAsia="思源黑体 CN Normal" w:cs="Arial"/>
              </w:rPr>
            </w:pPr>
            <w:r>
              <w:rPr>
                <w:rFonts w:hint="eastAsia" w:ascii="思源黑体 CN Normal" w:hAnsi="思源黑体 CN Normal" w:eastAsia="思源黑体 CN Normal" w:cs="Arial"/>
              </w:rPr>
              <w:t>参赛队员站位</w:t>
            </w:r>
          </w:p>
        </w:tc>
        <w:tc>
          <w:tcPr>
            <w:tcW w:w="2547" w:type="dxa"/>
            <w:vAlign w:val="center"/>
          </w:tcPr>
          <w:p>
            <w:pPr>
              <w:jc w:val="left"/>
              <w:rPr>
                <w:rFonts w:hint="eastAsia" w:ascii="思源黑体 CN Normal" w:hAnsi="思源黑体 CN Normal" w:eastAsia="思源黑体 CN Normal" w:cs="Arial"/>
                <w:lang w:val="en-US" w:eastAsia="zh-CN"/>
              </w:rPr>
            </w:pPr>
            <w:r>
              <w:rPr>
                <w:rFonts w:hint="eastAsia" w:ascii="思源黑体 CN Normal" w:hAnsi="思源黑体 CN Normal" w:eastAsia="思源黑体 CN Normal" w:cs="Arial"/>
                <w:lang w:val="en-US" w:eastAsia="zh-CN"/>
              </w:rPr>
              <w:t>违规方将被判口头警告，两次违规将被判违例。情节恶劣者取消本场比赛资格。</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淘汰赛</w:t>
            </w:r>
            <w:r>
              <w:rPr>
                <w:rFonts w:hint="eastAsia" w:ascii="思源黑体 CN Normal" w:hAnsi="思源黑体 CN Normal" w:eastAsia="思源黑体 CN Normal" w:cs="Arial"/>
                <w:lang w:val="en-US" w:eastAsia="zh-CN"/>
              </w:rPr>
              <w:t>超时调试</w:t>
            </w:r>
            <w:r>
              <w:rPr>
                <w:rFonts w:hint="eastAsia" w:ascii="思源黑体 CN Normal" w:hAnsi="思源黑体 CN Normal" w:eastAsia="思源黑体 CN Normal" w:cs="Arial"/>
              </w:rPr>
              <w:t>则</w:t>
            </w:r>
          </w:p>
        </w:tc>
        <w:tc>
          <w:tcPr>
            <w:tcW w:w="2547" w:type="dxa"/>
            <w:vAlign w:val="center"/>
          </w:tcPr>
          <w:p>
            <w:pPr>
              <w:jc w:val="left"/>
              <w:rPr>
                <w:rFonts w:hint="eastAsia" w:ascii="思源黑体 CN Normal" w:hAnsi="思源黑体 CN Normal" w:eastAsia="思源黑体 CN Normal" w:cs="Arial"/>
                <w:lang w:eastAsia="zh-CN"/>
              </w:rPr>
            </w:pPr>
            <w:r>
              <w:rPr>
                <w:rFonts w:hint="eastAsia" w:ascii="思源黑体 CN Normal" w:hAnsi="思源黑体 CN Normal" w:eastAsia="思源黑体 CN Normal" w:cs="Arial"/>
                <w:lang w:eastAsia="zh-CN"/>
              </w:rPr>
              <w:t>违规方将被判警告，两次违规将被判违例。</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831"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提前开始比赛</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违规方将被判违例，两次违规将被判黄牌。</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延迟结束比赛</w:t>
            </w:r>
          </w:p>
        </w:tc>
        <w:tc>
          <w:tcPr>
            <w:tcW w:w="2547" w:type="dxa"/>
            <w:vAlign w:val="center"/>
          </w:tcPr>
          <w:p>
            <w:pPr>
              <w:jc w:val="left"/>
              <w:rPr>
                <w:rFonts w:hint="eastAsia" w:ascii="思源黑体 CN Normal" w:hAnsi="思源黑体 CN Normal" w:eastAsia="思源黑体 CN Normal" w:cs="Arial"/>
                <w:lang w:val="en-US" w:eastAsia="zh-CN"/>
              </w:rPr>
            </w:pPr>
            <w:r>
              <w:rPr>
                <w:rFonts w:hint="eastAsia" w:ascii="思源黑体 CN Normal" w:hAnsi="思源黑体 CN Normal" w:eastAsia="思源黑体 CN Normal" w:cs="Arial"/>
                <w:lang w:val="en-US" w:eastAsia="zh-CN"/>
              </w:rPr>
              <w:t xml:space="preserve">违规方将被判违例，若延迟结束比赛为违规方带来比赛优势，裁判应判无效得分，并尽量恢复场地原有状态。 </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携带违规电子设备</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违规方将被判违例，二次违规将被判黄牌，情节恶劣者取消本场比赛资格。</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自动控制阶段违规操控</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违规方将被判违例，自动控制阶段使用蓝牙手柄将直接判罚红牌，情节恶劣者取消本场比赛资格。</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操控被禁用的机器人</w:t>
            </w:r>
          </w:p>
        </w:tc>
        <w:tc>
          <w:tcPr>
            <w:tcW w:w="2547" w:type="dxa"/>
            <w:shd w:val="clear" w:color="auto" w:fill="FFFFFF"/>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违规者取消本场比赛资格。</w:t>
            </w:r>
          </w:p>
        </w:tc>
        <w:tc>
          <w:tcPr>
            <w:tcW w:w="616" w:type="dxa"/>
            <w:vAlign w:val="center"/>
          </w:tcPr>
          <w:p>
            <w:pPr>
              <w:jc w:val="center"/>
              <w:rPr>
                <w:rFonts w:ascii="思源黑体 CN Normal" w:hAnsi="思源黑体 CN Normal" w:eastAsia="思源黑体 CN Normal" w:cs="Arial"/>
              </w:rPr>
            </w:pPr>
          </w:p>
        </w:tc>
        <w:tc>
          <w:tcPr>
            <w:tcW w:w="550"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p>
        </w:tc>
        <w:tc>
          <w:tcPr>
            <w:tcW w:w="584" w:type="dxa"/>
            <w:shd w:val="clear" w:color="auto" w:fill="FFFFFF"/>
            <w:vAlign w:val="center"/>
          </w:tcPr>
          <w:p>
            <w:pPr>
              <w:jc w:val="center"/>
              <w:rPr>
                <w:rFonts w:ascii="思源黑体 CN Normal" w:hAnsi="思源黑体 CN Normal" w:eastAsia="思源黑体 CN Normal" w:cs="Arial"/>
              </w:rPr>
            </w:pPr>
          </w:p>
        </w:tc>
        <w:tc>
          <w:tcPr>
            <w:tcW w:w="941" w:type="dxa"/>
            <w:shd w:val="clear" w:color="auto" w:fill="FFFFFF"/>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shd w:val="clear" w:color="auto" w:fill="FFFFFF"/>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ascii="思源黑体 CN Normal" w:hAnsi="思源黑体 CN Normal" w:eastAsia="思源黑体 CN Normal" w:cs="Times New Roman"/>
              </w:rPr>
              <w:t>机器人在场地上遗留零部件</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Times New Roman"/>
              </w:rPr>
              <w:t>若影响比赛进行，违规方将被判违例，两次违规将被判黄牌</w:t>
            </w:r>
            <w:r>
              <w:rPr>
                <w:rFonts w:ascii="思源黑体 CN Normal" w:hAnsi="思源黑体 CN Normal" w:eastAsia="思源黑体 CN Normal" w:cs="Times New Roman"/>
              </w:rPr>
              <w:t>。</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思源黑体 CN Normal" w:hAnsi="思源黑体 CN Normal" w:eastAsia="思源黑体 CN Normal" w:cs="Arial"/>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shd w:val="clear" w:color="auto" w:fill="FFFFFF"/>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机器人在比赛过程中不符合规范</w:t>
            </w:r>
          </w:p>
        </w:tc>
        <w:tc>
          <w:tcPr>
            <w:tcW w:w="2547" w:type="dxa"/>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 xml:space="preserve">违规方将被判红牌。若因非主观因素造成的机器人尺寸超标，包括被对手抛射场地元素击中或因外力改变，导致机器人尺寸超出比赛尺寸限制和机器人状态变形的情况除外。 </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违规抛射</w:t>
            </w:r>
          </w:p>
        </w:tc>
        <w:tc>
          <w:tcPr>
            <w:tcW w:w="2547" w:type="dxa"/>
            <w:vAlign w:val="center"/>
          </w:tcPr>
          <w:p>
            <w:pPr>
              <w:jc w:val="left"/>
              <w:rPr>
                <w:rFonts w:ascii="思源黑体 CN Normal" w:hAnsi="思源黑体 CN Normal" w:eastAsia="思源黑体 CN Normal" w:cs="Times New Roman"/>
              </w:rPr>
            </w:pPr>
            <w:r>
              <w:rPr>
                <w:rFonts w:hint="eastAsia" w:ascii="思源黑体 CN Normal" w:hAnsi="思源黑体 CN Normal" w:eastAsia="思源黑体 CN Normal" w:cs="Times New Roman"/>
              </w:rPr>
              <w:t>违规方将被判黄牌，如造成对方场地元素的变化，需暂停还原。</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shd w:val="clear" w:color="auto" w:fill="FFFFFF"/>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进入对方区域</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违规方将被判黄牌。机器人进入对方区域，须在3秒之内返回本方区域，裁判将会进行口头读秒提醒。</w:t>
            </w:r>
          </w:p>
        </w:tc>
        <w:tc>
          <w:tcPr>
            <w:tcW w:w="616" w:type="dxa"/>
            <w:vAlign w:val="center"/>
          </w:tcPr>
          <w:p>
            <w:pPr>
              <w:jc w:val="center"/>
              <w:rPr>
                <w:rFonts w:ascii="思源黑体 CN Normal" w:hAnsi="思源黑体 CN Normal" w:eastAsia="思源黑体 CN Normal" w:cs="Arial"/>
              </w:rPr>
            </w:pPr>
          </w:p>
        </w:tc>
        <w:tc>
          <w:tcPr>
            <w:tcW w:w="550"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限制对方机器人移动</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违规方将被判违例，情节恶劣者将被判黄牌。</w:t>
            </w:r>
          </w:p>
        </w:tc>
        <w:tc>
          <w:tcPr>
            <w:tcW w:w="616"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rPr>
            </w:pPr>
            <w:r>
              <w:rPr>
                <w:rFonts w:ascii="Segoe UI Emoji" w:hAnsi="Segoe UI Emoji" w:eastAsia="思源黑体 CN Normal" w:cs="Segoe UI Emoji"/>
              </w:rPr>
              <w:t>✔</w:t>
            </w:r>
          </w:p>
        </w:tc>
        <w:tc>
          <w:tcPr>
            <w:tcW w:w="584" w:type="dxa"/>
            <w:vAlign w:val="center"/>
          </w:tcPr>
          <w:p>
            <w:pPr>
              <w:jc w:val="center"/>
              <w:rPr>
                <w:rFonts w:ascii="思源黑体 CN Normal" w:hAnsi="思源黑体 CN Normal" w:eastAsia="思源黑体 CN Normal" w:cs="Arial"/>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jc w:val="center"/>
              <w:rPr>
                <w:rFonts w:ascii="思源黑体 CN Normal" w:hAnsi="思源黑体 CN Normal" w:eastAsia="思源黑体 CN Normal" w:cs="Times New Roman"/>
              </w:rPr>
            </w:pPr>
            <w:r>
              <w:rPr>
                <w:rFonts w:hint="eastAsia" w:ascii="思源黑体 CN Normal" w:hAnsi="思源黑体 CN Normal" w:eastAsia="思源黑体 CN Normal" w:cs="Times New Roman"/>
              </w:rPr>
              <w:t xml:space="preserve">违规接触 </w:t>
            </w:r>
          </w:p>
        </w:tc>
        <w:tc>
          <w:tcPr>
            <w:tcW w:w="2547" w:type="dxa"/>
            <w:vAlign w:val="center"/>
          </w:tcPr>
          <w:p>
            <w:pPr>
              <w:jc w:val="left"/>
              <w:rPr>
                <w:rFonts w:hint="eastAsia"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违规方将被判违例，若因违规接触对得分或比赛的进行造成影响，违规方将被判黄牌,情节恶劣者裁判有权取消本场比赛资格。</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jc w:val="center"/>
              <w:rPr>
                <w:rFonts w:ascii="思源黑体 CN Normal" w:hAnsi="思源黑体 CN Normal" w:eastAsia="思源黑体 CN Normal" w:cs="Arial"/>
              </w:rPr>
            </w:pPr>
            <w:r>
              <w:rPr>
                <w:rFonts w:hint="eastAsia" w:ascii="思源黑体 CN Normal" w:hAnsi="思源黑体 CN Normal" w:eastAsia="思源黑体 CN Normal" w:cs="Arial"/>
              </w:rPr>
              <w:t xml:space="preserve">身体进入比赛场地影响比赛进行 </w:t>
            </w:r>
          </w:p>
        </w:tc>
        <w:tc>
          <w:tcPr>
            <w:tcW w:w="2547" w:type="dxa"/>
            <w:vAlign w:val="center"/>
          </w:tcPr>
          <w:p>
            <w:pPr>
              <w:jc w:val="left"/>
              <w:rPr>
                <w:rFonts w:ascii="思源黑体 CN Normal" w:hAnsi="思源黑体 CN Normal" w:eastAsia="思源黑体 CN Normal" w:cs="Arial"/>
              </w:rPr>
            </w:pPr>
            <w:r>
              <w:rPr>
                <w:rFonts w:hint="eastAsia" w:ascii="思源黑体 CN Normal" w:hAnsi="思源黑体 CN Normal" w:eastAsia="思源黑体 CN Normal" w:cs="Arial"/>
              </w:rPr>
              <w:t>违规方将被判违例。两次违规将被判黄牌。</w:t>
            </w:r>
          </w:p>
        </w:tc>
        <w:tc>
          <w:tcPr>
            <w:tcW w:w="616" w:type="dxa"/>
            <w:vAlign w:val="center"/>
          </w:tcPr>
          <w:p>
            <w:pPr>
              <w:jc w:val="center"/>
              <w:rPr>
                <w:rFonts w:ascii="Segoe UI Emoji" w:hAnsi="Segoe UI Emoji" w:eastAsia="思源黑体 CN Normal" w:cs="Segoe UI Emoji"/>
                <w:kern w:val="2"/>
                <w:szCs w:val="22"/>
                <w:lang w:val="en-US" w:eastAsia="zh-CN" w:bidi="ar-SA"/>
              </w:rPr>
            </w:pPr>
            <w:r>
              <w:rPr>
                <w:rFonts w:ascii="Segoe UI Emoji" w:hAnsi="Segoe UI Emoji" w:eastAsia="思源黑体 CN Normal" w:cs="Segoe UI Emoji"/>
              </w:rPr>
              <w:t>✔</w:t>
            </w:r>
          </w:p>
        </w:tc>
        <w:tc>
          <w:tcPr>
            <w:tcW w:w="550" w:type="dxa"/>
            <w:vAlign w:val="center"/>
          </w:tcPr>
          <w:p>
            <w:pPr>
              <w:jc w:val="center"/>
              <w:rPr>
                <w:rFonts w:ascii="思源黑体 CN Normal" w:hAnsi="思源黑体 CN Normal" w:eastAsia="思源黑体 CN Normal" w:cs="Arial"/>
                <w:kern w:val="2"/>
                <w:szCs w:val="22"/>
                <w:lang w:val="en-US" w:eastAsia="zh-CN" w:bidi="ar-SA"/>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思源黑体 CN Normal" w:hAnsi="思源黑体 CN Normal" w:eastAsia="思源黑体 CN Normal" w:cs="Arial"/>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思源黑体 CN Normal" w:hAnsi="思源黑体 CN Normal" w:eastAsia="思源黑体 CN Normal" w:cs="Arial"/>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违例指导</w:t>
            </w:r>
          </w:p>
          <w:p>
            <w:pPr>
              <w:jc w:val="center"/>
              <w:rPr>
                <w:rFonts w:ascii="思源黑体 CN Normal" w:hAnsi="思源黑体 CN Normal" w:eastAsia="思源黑体 CN Normal" w:cs="Times New Roman"/>
                <w:b w:val="0"/>
                <w:bCs/>
                <w:color w:val="auto"/>
                <w:kern w:val="2"/>
                <w:sz w:val="16"/>
                <w:szCs w:val="20"/>
                <w:lang w:val="en-US" w:eastAsia="zh-CN" w:bidi="ar-SA"/>
              </w:rPr>
            </w:pPr>
          </w:p>
        </w:tc>
        <w:tc>
          <w:tcPr>
            <w:tcW w:w="2547" w:type="dxa"/>
            <w:vAlign w:val="center"/>
          </w:tcPr>
          <w:p>
            <w:pPr>
              <w:jc w:val="left"/>
              <w:rPr>
                <w:rFonts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违规方将被判警告，若拒不改正，违规方将被判违例，并可视情况加大处罚力度，直至取消比赛</w:t>
            </w:r>
            <w:r>
              <w:rPr>
                <w:rFonts w:hint="eastAsia" w:ascii="思源黑体 CN Normal" w:hAnsi="思源黑体 CN Normal" w:eastAsia="思源黑体 CN Normal" w:cs="Times New Roman"/>
                <w:color w:val="000000"/>
                <w:lang w:val="en-US" w:eastAsia="zh-CN"/>
              </w:rPr>
              <w:t>本场</w:t>
            </w:r>
            <w:r>
              <w:rPr>
                <w:rFonts w:hint="eastAsia" w:ascii="思源黑体 CN Normal" w:hAnsi="思源黑体 CN Normal" w:eastAsia="思源黑体 CN Normal" w:cs="Times New Roman"/>
                <w:color w:val="000000"/>
              </w:rPr>
              <w:t xml:space="preserve">资格。 </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场外接触</w:t>
            </w:r>
          </w:p>
          <w:p>
            <w:pPr>
              <w:jc w:val="center"/>
              <w:rPr>
                <w:rFonts w:ascii="思源黑体 CN Normal" w:hAnsi="思源黑体 CN Normal" w:eastAsia="思源黑体 CN Normal" w:cs="Times New Roman"/>
                <w:b w:val="0"/>
                <w:bCs/>
                <w:color w:val="auto"/>
                <w:kern w:val="2"/>
                <w:sz w:val="16"/>
                <w:szCs w:val="20"/>
                <w:lang w:val="en-US" w:eastAsia="zh-CN" w:bidi="ar-SA"/>
              </w:rPr>
            </w:pPr>
          </w:p>
        </w:tc>
        <w:tc>
          <w:tcPr>
            <w:tcW w:w="2547" w:type="dxa"/>
            <w:vAlign w:val="center"/>
          </w:tcPr>
          <w:p>
            <w:pPr>
              <w:jc w:val="left"/>
              <w:rPr>
                <w:rFonts w:ascii="思源黑体 CN Normal" w:hAnsi="思源黑体 CN Normal" w:eastAsia="思源黑体 CN Normal" w:cs="Times New Roman"/>
                <w:color w:val="000000"/>
              </w:rPr>
            </w:pPr>
            <w:r>
              <w:rPr>
                <w:rFonts w:hint="eastAsia" w:ascii="思源黑体 CN Normal" w:hAnsi="思源黑体 CN Normal" w:eastAsia="思源黑体 CN Normal" w:cs="Times New Roman"/>
                <w:color w:val="000000"/>
              </w:rPr>
              <w:t>违规方将被判违例，二次违规将被取消</w:t>
            </w:r>
            <w:r>
              <w:rPr>
                <w:rFonts w:hint="eastAsia" w:ascii="思源黑体 CN Regular" w:hAnsi="思源黑体 CN Regular" w:eastAsia="思源黑体 CN Regular" w:cs="Arial"/>
                <w:lang w:val="en-US" w:eastAsia="zh-CN"/>
              </w:rPr>
              <w:t>本场</w:t>
            </w:r>
            <w:r>
              <w:rPr>
                <w:rFonts w:hint="eastAsia" w:ascii="思源黑体 CN Normal" w:hAnsi="思源黑体 CN Normal" w:eastAsia="思源黑体 CN Normal" w:cs="Times New Roman"/>
                <w:color w:val="000000"/>
              </w:rPr>
              <w:t>比赛资格。</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8484" w:type="dxa"/>
            <w:gridSpan w:val="8"/>
            <w:vAlign w:val="center"/>
          </w:tcPr>
          <w:p>
            <w:pPr>
              <w:jc w:val="center"/>
              <w:rPr>
                <w:rFonts w:hint="default" w:ascii="Segoe UI Emoji" w:hAnsi="Segoe UI Emoji" w:eastAsia="思源黑体 CN Normal" w:cs="Segoe UI Emoji"/>
                <w:lang w:val="en-US" w:eastAsia="zh-CN"/>
              </w:rPr>
            </w:pPr>
            <w:r>
              <w:rPr>
                <w:rFonts w:hint="eastAsia" w:ascii="Segoe UI Emoji" w:hAnsi="Segoe UI Emoji" w:eastAsia="思源黑体 CN Normal" w:cs="Segoe UI Emoji"/>
                <w:b/>
                <w:bCs/>
                <w:sz w:val="24"/>
                <w:szCs w:val="32"/>
                <w:lang w:val="en-US" w:eastAsia="zh-CN"/>
              </w:rPr>
              <w:t>改装规则</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机器人未进入启动区 </w:t>
            </w:r>
          </w:p>
        </w:tc>
        <w:tc>
          <w:tcPr>
            <w:tcW w:w="2547"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强行对未进入启动区的机器人进行改装，违规方将被判红牌，该机器人被禁用。</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500" w:hRule="atLeast"/>
        </w:trPr>
        <w:tc>
          <w:tcPr>
            <w:tcW w:w="1571"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未在指定位置进行改装</w:t>
            </w:r>
          </w:p>
        </w:tc>
        <w:tc>
          <w:tcPr>
            <w:tcW w:w="2547"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违规方将被判违例。</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改变场地元素状态 </w:t>
            </w:r>
          </w:p>
        </w:tc>
        <w:tc>
          <w:tcPr>
            <w:tcW w:w="2547"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违规方将被判违例，若改变场地元素为违规方带来比赛优势，裁判应判无效得分，并尽量恢复场地原有状态。 </w:t>
            </w:r>
          </w:p>
        </w:tc>
        <w:tc>
          <w:tcPr>
            <w:tcW w:w="616"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强化改装结束时未进入启动区 </w:t>
            </w:r>
          </w:p>
        </w:tc>
        <w:tc>
          <w:tcPr>
            <w:tcW w:w="2547"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违规方机器人将被判禁用。 </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571"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 xml:space="preserve">改装后机器人与检录状态不符 </w:t>
            </w:r>
          </w:p>
        </w:tc>
        <w:tc>
          <w:tcPr>
            <w:tcW w:w="2547" w:type="dxa"/>
            <w:vAlign w:val="center"/>
          </w:tcPr>
          <w:p>
            <w:pPr>
              <w:widowControl w:val="0"/>
              <w:numPr>
                <w:ilvl w:val="0"/>
                <w:numId w:val="0"/>
              </w:numPr>
              <w:spacing w:line="420" w:lineRule="exact"/>
              <w:ind w:firstLine="0"/>
              <w:jc w:val="center"/>
              <w:outlineLvl w:val="2"/>
              <w:rPr>
                <w:rFonts w:hint="eastAsia" w:ascii="思源黑体 CN Normal" w:hAnsi="思源黑体 CN Normal" w:eastAsia="思源黑体 CN Normal" w:cs="Times New Roman"/>
                <w:b w:val="0"/>
                <w:bCs/>
                <w:color w:val="auto"/>
                <w:kern w:val="2"/>
                <w:sz w:val="21"/>
                <w:szCs w:val="20"/>
                <w:lang w:val="en-US" w:eastAsia="zh-CN" w:bidi="ar-SA"/>
              </w:rPr>
            </w:pPr>
            <w:r>
              <w:rPr>
                <w:rFonts w:hint="eastAsia" w:ascii="思源黑体 CN Normal" w:hAnsi="思源黑体 CN Normal" w:eastAsia="思源黑体 CN Normal" w:cs="Times New Roman"/>
                <w:b w:val="0"/>
                <w:bCs/>
                <w:color w:val="auto"/>
                <w:kern w:val="2"/>
                <w:sz w:val="21"/>
                <w:szCs w:val="20"/>
                <w:lang w:val="en-US" w:eastAsia="zh-CN" w:bidi="ar-SA"/>
              </w:rPr>
              <w:t>违规方将被判红牌。</w:t>
            </w:r>
          </w:p>
        </w:tc>
        <w:tc>
          <w:tcPr>
            <w:tcW w:w="616" w:type="dxa"/>
            <w:vAlign w:val="center"/>
          </w:tcPr>
          <w:p>
            <w:pPr>
              <w:jc w:val="center"/>
              <w:rPr>
                <w:rFonts w:ascii="Segoe UI Emoji" w:hAnsi="Segoe UI Emoji" w:eastAsia="思源黑体 CN Normal" w:cs="Segoe UI Emoji"/>
              </w:rPr>
            </w:pPr>
          </w:p>
        </w:tc>
        <w:tc>
          <w:tcPr>
            <w:tcW w:w="550" w:type="dxa"/>
            <w:vAlign w:val="center"/>
          </w:tcPr>
          <w:p>
            <w:pPr>
              <w:jc w:val="center"/>
              <w:rPr>
                <w:rFonts w:ascii="Segoe UI Emoji" w:hAnsi="Segoe UI Emoji" w:eastAsia="思源黑体 CN Normal" w:cs="Segoe UI Emoji"/>
              </w:rPr>
            </w:pP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584" w:type="dxa"/>
            <w:vAlign w:val="center"/>
          </w:tcPr>
          <w:p>
            <w:pPr>
              <w:jc w:val="center"/>
              <w:rPr>
                <w:rFonts w:ascii="Segoe UI Emoji" w:hAnsi="Segoe UI Emoji" w:eastAsia="思源黑体 CN Normal" w:cs="Segoe UI Emoji"/>
              </w:rPr>
            </w:pPr>
            <w:r>
              <w:rPr>
                <w:rFonts w:ascii="Segoe UI Emoji" w:hAnsi="Segoe UI Emoji" w:eastAsia="思源黑体 CN Normal" w:cs="Segoe UI Emoji"/>
              </w:rPr>
              <w:t>✔</w:t>
            </w:r>
          </w:p>
        </w:tc>
        <w:tc>
          <w:tcPr>
            <w:tcW w:w="941" w:type="dxa"/>
            <w:vAlign w:val="center"/>
          </w:tcPr>
          <w:p>
            <w:pPr>
              <w:jc w:val="center"/>
              <w:rPr>
                <w:rFonts w:ascii="Segoe UI Emoji" w:hAnsi="Segoe UI Emoji" w:eastAsia="思源黑体 CN Normal" w:cs="Segoe UI Emoji"/>
              </w:rPr>
            </w:pPr>
          </w:p>
        </w:tc>
        <w:tc>
          <w:tcPr>
            <w:tcW w:w="1091" w:type="dxa"/>
            <w:vAlign w:val="center"/>
          </w:tcPr>
          <w:p>
            <w:pPr>
              <w:jc w:val="center"/>
              <w:rPr>
                <w:rFonts w:ascii="Segoe UI Emoji" w:hAnsi="Segoe UI Emoji" w:eastAsia="思源黑体 CN Normal" w:cs="Segoe UI Emoji"/>
              </w:rPr>
            </w:pPr>
          </w:p>
        </w:tc>
      </w:tr>
    </w:tbl>
    <w:p>
      <w:pPr>
        <w:pStyle w:val="32"/>
        <w:numPr>
          <w:ilvl w:val="0"/>
          <w:numId w:val="0"/>
        </w:numPr>
        <w:spacing w:line="240" w:lineRule="auto"/>
        <w:rPr>
          <w:rFonts w:hint="eastAsia"/>
          <w:highlight w:val="none"/>
          <w:lang w:eastAsia="zh-Hans"/>
        </w:rPr>
        <w:sectPr>
          <w:footerReference r:id="rId5" w:type="default"/>
          <w:pgSz w:w="11906" w:h="16838"/>
          <w:pgMar w:top="1440" w:right="1797" w:bottom="1440" w:left="1797" w:header="851" w:footer="992" w:gutter="0"/>
          <w:pgNumType w:fmt="decimal"/>
          <w:cols w:space="425" w:num="1"/>
          <w:docGrid w:type="lines" w:linePitch="312" w:charSpace="0"/>
        </w:sectPr>
      </w:pPr>
    </w:p>
    <w:p>
      <w:pPr>
        <w:pStyle w:val="32"/>
        <w:numPr>
          <w:ilvl w:val="0"/>
          <w:numId w:val="0"/>
        </w:numPr>
        <w:spacing w:line="240" w:lineRule="auto"/>
        <w:rPr>
          <w:highlight w:val="none"/>
        </w:rPr>
      </w:pPr>
      <w:r>
        <w:rPr>
          <w:rFonts w:hint="eastAsia"/>
          <w:highlight w:val="none"/>
          <w:lang w:eastAsia="zh-Hans"/>
        </w:rPr>
        <w:t>附录</w:t>
      </w:r>
      <w:r>
        <w:rPr>
          <w:rFonts w:hint="eastAsia"/>
          <w:highlight w:val="none"/>
          <w:lang w:val="en-US" w:eastAsia="zh-CN"/>
        </w:rPr>
        <w:t>2</w:t>
      </w:r>
      <w:r>
        <w:rPr>
          <w:highlight w:val="none"/>
        </w:rPr>
        <w:t>：MakeX Challenge 能源革新计分表</w:t>
      </w:r>
      <w:bookmarkEnd w:id="49"/>
      <w:bookmarkEnd w:id="50"/>
      <w:bookmarkEnd w:id="51"/>
    </w:p>
    <w:p>
      <w:pPr>
        <w:pStyle w:val="29"/>
        <w:numPr>
          <w:ilvl w:val="0"/>
          <w:numId w:val="0"/>
        </w:numPr>
        <w:spacing w:line="240" w:lineRule="auto"/>
        <w:ind w:left="330"/>
        <w:rPr>
          <w:highlight w:val="none"/>
        </w:rPr>
        <w:sectPr>
          <w:pgSz w:w="11906" w:h="16838"/>
          <w:pgMar w:top="1440" w:right="1797" w:bottom="1440" w:left="1797" w:header="851" w:footer="992" w:gutter="0"/>
          <w:pgNumType w:fmt="decimal"/>
          <w:cols w:space="425" w:num="1"/>
          <w:docGrid w:type="lines" w:linePitch="312" w:charSpace="0"/>
        </w:sectPr>
      </w:pPr>
      <w:r>
        <w:rPr>
          <w:highlight w:val="none"/>
        </w:rPr>
        <w:drawing>
          <wp:inline distT="0" distB="0" distL="0" distR="0">
            <wp:extent cx="5278120" cy="38182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8120" cy="3818255"/>
                    </a:xfrm>
                    <a:prstGeom prst="rect">
                      <a:avLst/>
                    </a:prstGeom>
                    <a:noFill/>
                    <a:ln>
                      <a:noFill/>
                    </a:ln>
                  </pic:spPr>
                </pic:pic>
              </a:graphicData>
            </a:graphic>
          </wp:inline>
        </w:drawing>
      </w:r>
    </w:p>
    <w:p>
      <w:pPr>
        <w:pStyle w:val="83"/>
        <w:jc w:val="both"/>
        <w:rPr>
          <w:highlight w:val="none"/>
          <w:lang w:eastAsia="zh-Hans"/>
        </w:rPr>
      </w:pPr>
    </w:p>
    <w:p>
      <w:pPr>
        <w:bidi w:val="0"/>
        <w:jc w:val="both"/>
        <w:rPr>
          <w:lang w:eastAsia="zh-Hans"/>
        </w:rPr>
      </w:pPr>
      <w:bookmarkStart w:id="52" w:name="_GoBack"/>
      <w:bookmarkEnd w:id="52"/>
    </w:p>
    <w:sectPr>
      <w:headerReference r:id="rId6" w:type="default"/>
      <w:pgSz w:w="11906" w:h="16838"/>
      <w:pgMar w:top="1440" w:right="1797" w:bottom="1440" w:left="1797"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黑体 CN Regular">
    <w:altName w:val="黑体"/>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思源黑体 CN Normal">
    <w:altName w:val="微软雅黑"/>
    <w:panose1 w:val="00000000000000000000"/>
    <w:charset w:val="86"/>
    <w:family w:val="swiss"/>
    <w:pitch w:val="default"/>
    <w:sig w:usb0="00000000" w:usb1="00000000" w:usb2="00000016" w:usb3="00000000" w:csb0="00060107" w:csb1="00000000"/>
  </w:font>
  <w:font w:name="思源黑体 CN Heavy">
    <w:altName w:val="黑体"/>
    <w:panose1 w:val="00000000000000000000"/>
    <w:charset w:val="86"/>
    <w:family w:val="swiss"/>
    <w:pitch w:val="default"/>
    <w:sig w:usb0="00000000" w:usb1="00000000" w:usb2="00000016" w:usb3="00000000" w:csb0="00060107" w:csb1="00000000"/>
  </w:font>
  <w:font w:name="Ari">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思源黑体 CN">
    <w:altName w:val="黑体"/>
    <w:panose1 w:val="020B0500000000000000"/>
    <w:charset w:val="86"/>
    <w:family w:val="swiss"/>
    <w:pitch w:val="default"/>
    <w:sig w:usb0="00000000" w:usb1="00000000" w:usb2="00000016" w:usb3="00000000" w:csb0="60060107" w:csb1="00000000"/>
  </w:font>
  <w:font w:name="Lucida Grande">
    <w:altName w:val="Courier New"/>
    <w:panose1 w:val="00000000000000000000"/>
    <w:charset w:val="00"/>
    <w:family w:val="swiss"/>
    <w:pitch w:val="default"/>
    <w:sig w:usb0="00000000" w:usb1="00000000" w:usb2="00000000" w:usb3="00000000" w:csb0="000001BF" w:csb1="00000000"/>
  </w:font>
  <w:font w:name="MS Mincho">
    <w:panose1 w:val="02020609040205080304"/>
    <w:charset w:val="80"/>
    <w:family w:val="modern"/>
    <w:pitch w:val="default"/>
    <w:sig w:usb0="A00002BF" w:usb1="68C7FCFB" w:usb2="00000010" w:usb3="00000000" w:csb0="4002009F" w:csb1="DFD70000"/>
  </w:font>
  <w:font w:name="思源黑体 Regular">
    <w:altName w:val="黑体"/>
    <w:panose1 w:val="00000000000000000000"/>
    <w:charset w:val="86"/>
    <w:family w:val="swiss"/>
    <w:pitch w:val="default"/>
    <w:sig w:usb0="00000000" w:usb1="00000000" w:usb2="00000016" w:usb3="00000000" w:csb0="002E0107" w:csb1="00000000"/>
  </w:font>
  <w:font w:name="思源黑体 CN Bold">
    <w:altName w:val="黑体"/>
    <w:panose1 w:val="00000000000000000000"/>
    <w:charset w:val="86"/>
    <w:family w:val="swiss"/>
    <w:pitch w:val="default"/>
    <w:sig w:usb0="00000000" w:usb1="00000000" w:usb2="00000016" w:usb3="00000000" w:csb0="00060107" w:csb1="00000000"/>
  </w:font>
  <w:font w:name="Arial Bold">
    <w:altName w:val="Arial"/>
    <w:panose1 w:val="020B0704020202020204"/>
    <w:charset w:val="00"/>
    <w:family w:val="auto"/>
    <w:pitch w:val="default"/>
    <w:sig w:usb0="00000000" w:usb1="00000000" w:usb2="00000001" w:usb3="00000000" w:csb0="400001BF" w:csb1="DFF70000"/>
  </w:font>
  <w:font w:name="MS Gothic">
    <w:panose1 w:val="020B0609070205080204"/>
    <w:charset w:val="80"/>
    <w:family w:val="modern"/>
    <w:pitch w:val="default"/>
    <w:sig w:usb0="E00002FF" w:usb1="6AC7FDFB" w:usb2="08000012" w:usb3="00000000" w:csb0="4002009F" w:csb1="DFD70000"/>
  </w:font>
  <w:font w:name="Wingdings 2">
    <w:panose1 w:val="05020102010507070707"/>
    <w:charset w:val="00"/>
    <w:family w:val="auto"/>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 w:name="Segoe UI Emoji">
    <w:panose1 w:val="020B0502040204020203"/>
    <w:charset w:val="00"/>
    <w:family w:val="swiss"/>
    <w:pitch w:val="default"/>
    <w:sig w:usb0="00000001" w:usb1="02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center" w:pos="4156"/>
        <w:tab w:val="clear" w:pos="4153"/>
        <w:tab w:val="clear" w:pos="8306"/>
      </w:tabs>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rPr>
                              <w:b/>
                              <w:bCs/>
                              <w:color w:val="FF0000"/>
                            </w:rPr>
                          </w:pPr>
                          <w:r>
                            <w:rPr>
                              <w:b/>
                              <w:bCs/>
                              <w:color w:val="FF0000"/>
                            </w:rPr>
                            <w:fldChar w:fldCharType="begin"/>
                          </w:r>
                          <w:r>
                            <w:rPr>
                              <w:b/>
                              <w:bCs/>
                              <w:color w:val="FF0000"/>
                            </w:rPr>
                            <w:instrText xml:space="preserve"> PAGE  \* MERGEFORMAT </w:instrText>
                          </w:r>
                          <w:r>
                            <w:rPr>
                              <w:b/>
                              <w:bCs/>
                              <w:color w:val="FF0000"/>
                            </w:rPr>
                            <w:fldChar w:fldCharType="separate"/>
                          </w:r>
                          <w:r>
                            <w:rPr>
                              <w:b/>
                              <w:bCs/>
                              <w:color w:val="FF0000"/>
                            </w:rPr>
                            <w:t>XXXIX</w:t>
                          </w:r>
                          <w:r>
                            <w:rPr>
                              <w:b/>
                              <w:bCs/>
                              <w:color w:val="FF0000"/>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pPr>
                      <w:pStyle w:val="10"/>
                      <w:rPr>
                        <w:b/>
                        <w:bCs/>
                        <w:color w:val="FF0000"/>
                      </w:rPr>
                    </w:pPr>
                    <w:r>
                      <w:rPr>
                        <w:b/>
                        <w:bCs/>
                        <w:color w:val="FF0000"/>
                      </w:rPr>
                      <w:fldChar w:fldCharType="begin"/>
                    </w:r>
                    <w:r>
                      <w:rPr>
                        <w:b/>
                        <w:bCs/>
                        <w:color w:val="FF0000"/>
                      </w:rPr>
                      <w:instrText xml:space="preserve"> PAGE  \* MERGEFORMAT </w:instrText>
                    </w:r>
                    <w:r>
                      <w:rPr>
                        <w:b/>
                        <w:bCs/>
                        <w:color w:val="FF0000"/>
                      </w:rPr>
                      <w:fldChar w:fldCharType="separate"/>
                    </w:r>
                    <w:r>
                      <w:rPr>
                        <w:b/>
                        <w:bCs/>
                        <w:color w:val="FF0000"/>
                      </w:rPr>
                      <w:t>XXXIX</w:t>
                    </w:r>
                    <w:r>
                      <w:rPr>
                        <w:b/>
                        <w:bCs/>
                        <w:color w:val="FF0000"/>
                      </w:rPr>
                      <w:fldChar w:fldCharType="end"/>
                    </w:r>
                  </w:p>
                </w:txbxContent>
              </v:textbox>
            </v:shape>
          </w:pict>
        </mc:Fallback>
      </mc:AlternateContent>
    </w:r>
    <w:r>
      <w:tab/>
    </w:r>
    <w:r>
      <w:drawing>
        <wp:anchor distT="0" distB="0" distL="114300" distR="114300" simplePos="0" relativeHeight="251659264" behindDoc="0" locked="0" layoutInCell="1" allowOverlap="1">
          <wp:simplePos x="0" y="0"/>
          <wp:positionH relativeFrom="margin">
            <wp:posOffset>1905</wp:posOffset>
          </wp:positionH>
          <wp:positionV relativeFrom="paragraph">
            <wp:posOffset>-46355</wp:posOffset>
          </wp:positionV>
          <wp:extent cx="5266690" cy="377190"/>
          <wp:effectExtent l="0" t="0" r="1016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690" cy="377190"/>
                  </a:xfrm>
                  <a:prstGeom prst="rect">
                    <a:avLst/>
                  </a:prstGeom>
                  <a:noFill/>
                  <a:ln w="6350">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rPr>
        <w:rFonts w:ascii="Times New Roman" w:hAnsi="Times New Roman" w:cs="Times New Roman" w:eastAsiaTheme="minorEastAsia"/>
        <w:color w:val="D64B40"/>
        <w:kern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53A14"/>
    <w:multiLevelType w:val="multilevel"/>
    <w:tmpl w:val="CF053A14"/>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
    <w:nsid w:val="ED8F16C2"/>
    <w:multiLevelType w:val="multilevel"/>
    <w:tmpl w:val="ED8F16C2"/>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2">
    <w:nsid w:val="07A92123"/>
    <w:multiLevelType w:val="multilevel"/>
    <w:tmpl w:val="07A92123"/>
    <w:lvl w:ilvl="0" w:tentative="0">
      <w:start w:val="1"/>
      <w:numFmt w:val="decimal"/>
      <w:pStyle w:val="32"/>
      <w:lvlText w:val="%1. "/>
      <w:lvlJc w:val="left"/>
      <w:pPr>
        <w:ind w:left="420" w:hanging="420"/>
      </w:pPr>
      <w:rPr>
        <w:rFonts w:hint="eastAsia"/>
      </w:rPr>
    </w:lvl>
    <w:lvl w:ilvl="1" w:tentative="0">
      <w:start w:val="1"/>
      <w:numFmt w:val="decimal"/>
      <w:pStyle w:val="48"/>
      <w:lvlText w:val="%1.%2"/>
      <w:lvlJc w:val="left"/>
      <w:pPr>
        <w:ind w:left="845"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09D151C2"/>
    <w:multiLevelType w:val="multilevel"/>
    <w:tmpl w:val="09D151C2"/>
    <w:lvl w:ilvl="0" w:tentative="0">
      <w:start w:val="1"/>
      <w:numFmt w:val="decimal"/>
      <w:lvlText w:val="（%1）"/>
      <w:lvlJc w:val="left"/>
      <w:pPr>
        <w:ind w:left="84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4ED7933"/>
    <w:multiLevelType w:val="multilevel"/>
    <w:tmpl w:val="14ED7933"/>
    <w:lvl w:ilvl="0" w:tentative="0">
      <w:start w:val="1"/>
      <w:numFmt w:val="decimalZero"/>
      <w:pStyle w:val="33"/>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5">
    <w:nsid w:val="25AC7818"/>
    <w:multiLevelType w:val="multilevel"/>
    <w:tmpl w:val="25AC7818"/>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6">
    <w:nsid w:val="329C3827"/>
    <w:multiLevelType w:val="multilevel"/>
    <w:tmpl w:val="329C3827"/>
    <w:lvl w:ilvl="0" w:tentative="0">
      <w:start w:val="1"/>
      <w:numFmt w:val="decimalZero"/>
      <w:pStyle w:val="99"/>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rPr>
    </w:lvl>
    <w:lvl w:ilvl="1" w:tentative="0">
      <w:start w:val="1"/>
      <w:numFmt w:val="lowerLetter"/>
      <w:lvlText w:val="%2)"/>
      <w:lvlJc w:val="left"/>
      <w:pPr>
        <w:ind w:left="1320" w:hanging="420"/>
      </w:pPr>
      <w:rPr>
        <w:rFonts w:hint="eastAsia"/>
      </w:rPr>
    </w:lvl>
    <w:lvl w:ilvl="2" w:tentative="0">
      <w:start w:val="1"/>
      <w:numFmt w:val="lowerRoman"/>
      <w:lvlText w:val="%3."/>
      <w:lvlJc w:val="right"/>
      <w:pPr>
        <w:ind w:left="1740" w:hanging="420"/>
      </w:pPr>
      <w:rPr>
        <w:rFonts w:hint="eastAsia"/>
      </w:rPr>
    </w:lvl>
    <w:lvl w:ilvl="3" w:tentative="0">
      <w:start w:val="1"/>
      <w:numFmt w:val="decimal"/>
      <w:lvlText w:val="%4."/>
      <w:lvlJc w:val="left"/>
      <w:pPr>
        <w:ind w:left="2160" w:hanging="420"/>
      </w:pPr>
      <w:rPr>
        <w:rFonts w:hint="eastAsia"/>
      </w:rPr>
    </w:lvl>
    <w:lvl w:ilvl="4" w:tentative="0">
      <w:start w:val="1"/>
      <w:numFmt w:val="lowerLetter"/>
      <w:lvlText w:val="%5)"/>
      <w:lvlJc w:val="left"/>
      <w:pPr>
        <w:ind w:left="2580" w:hanging="420"/>
      </w:pPr>
      <w:rPr>
        <w:rFonts w:hint="eastAsia"/>
      </w:rPr>
    </w:lvl>
    <w:lvl w:ilvl="5" w:tentative="0">
      <w:start w:val="1"/>
      <w:numFmt w:val="lowerRoman"/>
      <w:lvlText w:val="%6."/>
      <w:lvlJc w:val="right"/>
      <w:pPr>
        <w:ind w:left="3000" w:hanging="420"/>
      </w:pPr>
      <w:rPr>
        <w:rFonts w:hint="eastAsia"/>
      </w:rPr>
    </w:lvl>
    <w:lvl w:ilvl="6" w:tentative="0">
      <w:start w:val="1"/>
      <w:numFmt w:val="decimal"/>
      <w:lvlText w:val="%7."/>
      <w:lvlJc w:val="left"/>
      <w:pPr>
        <w:ind w:left="3420" w:hanging="420"/>
      </w:pPr>
      <w:rPr>
        <w:rFonts w:hint="eastAsia"/>
      </w:rPr>
    </w:lvl>
    <w:lvl w:ilvl="7" w:tentative="0">
      <w:start w:val="1"/>
      <w:numFmt w:val="lowerLetter"/>
      <w:lvlText w:val="%8)"/>
      <w:lvlJc w:val="left"/>
      <w:pPr>
        <w:ind w:left="3840" w:hanging="420"/>
      </w:pPr>
      <w:rPr>
        <w:rFonts w:hint="eastAsia"/>
      </w:rPr>
    </w:lvl>
    <w:lvl w:ilvl="8" w:tentative="0">
      <w:start w:val="1"/>
      <w:numFmt w:val="lowerRoman"/>
      <w:lvlText w:val="%9."/>
      <w:lvlJc w:val="right"/>
      <w:pPr>
        <w:ind w:left="4260" w:hanging="420"/>
      </w:pPr>
      <w:rPr>
        <w:rFonts w:hint="eastAsia"/>
      </w:rPr>
    </w:lvl>
  </w:abstractNum>
  <w:abstractNum w:abstractNumId="7">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54"/>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8">
    <w:nsid w:val="451488C0"/>
    <w:multiLevelType w:val="multilevel"/>
    <w:tmpl w:val="451488C0"/>
    <w:lvl w:ilvl="0" w:tentative="0">
      <w:start w:val="1"/>
      <w:numFmt w:val="decimalZero"/>
      <w:pStyle w:val="95"/>
      <w:lvlText w:val="R%1. "/>
      <w:lvlJc w:val="left"/>
      <w:pPr>
        <w:tabs>
          <w:tab w:val="left" w:pos="420"/>
        </w:tabs>
        <w:ind w:left="1213" w:leftChars="0" w:hanging="363" w:firstLineChars="0"/>
      </w:pPr>
      <w:rPr>
        <w:rFonts w:hint="default"/>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531" w:hanging="420"/>
      </w:pPr>
      <w:rPr>
        <w:rFonts w:hint="eastAsia"/>
      </w:rPr>
    </w:lvl>
    <w:lvl w:ilvl="2" w:tentative="0">
      <w:start w:val="1"/>
      <w:numFmt w:val="lowerRoman"/>
      <w:lvlText w:val="%3."/>
      <w:lvlJc w:val="right"/>
      <w:pPr>
        <w:ind w:left="2951" w:hanging="420"/>
      </w:pPr>
      <w:rPr>
        <w:rFonts w:hint="eastAsia"/>
      </w:rPr>
    </w:lvl>
    <w:lvl w:ilvl="3" w:tentative="0">
      <w:start w:val="1"/>
      <w:numFmt w:val="decimal"/>
      <w:lvlText w:val="%4."/>
      <w:lvlJc w:val="left"/>
      <w:pPr>
        <w:ind w:left="3371" w:hanging="420"/>
      </w:pPr>
      <w:rPr>
        <w:rFonts w:hint="eastAsia"/>
      </w:rPr>
    </w:lvl>
    <w:lvl w:ilvl="4" w:tentative="0">
      <w:start w:val="1"/>
      <w:numFmt w:val="lowerLetter"/>
      <w:lvlText w:val="%5)"/>
      <w:lvlJc w:val="left"/>
      <w:pPr>
        <w:ind w:left="3791" w:hanging="420"/>
      </w:pPr>
      <w:rPr>
        <w:rFonts w:hint="eastAsia"/>
      </w:rPr>
    </w:lvl>
    <w:lvl w:ilvl="5" w:tentative="0">
      <w:start w:val="1"/>
      <w:numFmt w:val="lowerRoman"/>
      <w:lvlText w:val="%6."/>
      <w:lvlJc w:val="right"/>
      <w:pPr>
        <w:ind w:left="4211" w:hanging="420"/>
      </w:pPr>
      <w:rPr>
        <w:rFonts w:hint="eastAsia"/>
      </w:rPr>
    </w:lvl>
    <w:lvl w:ilvl="6" w:tentative="0">
      <w:start w:val="1"/>
      <w:numFmt w:val="decimal"/>
      <w:lvlText w:val="%7."/>
      <w:lvlJc w:val="left"/>
      <w:pPr>
        <w:ind w:left="4631" w:hanging="420"/>
      </w:pPr>
      <w:rPr>
        <w:rFonts w:hint="eastAsia"/>
      </w:rPr>
    </w:lvl>
    <w:lvl w:ilvl="7" w:tentative="0">
      <w:start w:val="1"/>
      <w:numFmt w:val="lowerLetter"/>
      <w:lvlText w:val="%8)"/>
      <w:lvlJc w:val="left"/>
      <w:pPr>
        <w:ind w:left="5051" w:hanging="420"/>
      </w:pPr>
      <w:rPr>
        <w:rFonts w:hint="eastAsia"/>
      </w:rPr>
    </w:lvl>
    <w:lvl w:ilvl="8" w:tentative="0">
      <w:start w:val="1"/>
      <w:numFmt w:val="lowerRoman"/>
      <w:lvlText w:val="%9."/>
      <w:lvlJc w:val="right"/>
      <w:pPr>
        <w:ind w:left="5471" w:hanging="420"/>
      </w:pPr>
      <w:rPr>
        <w:rFonts w:hint="eastAsia"/>
      </w:rPr>
    </w:lvl>
  </w:abstractNum>
  <w:abstractNum w:abstractNumId="9">
    <w:nsid w:val="52652F88"/>
    <w:multiLevelType w:val="multilevel"/>
    <w:tmpl w:val="52652F88"/>
    <w:lvl w:ilvl="0" w:tentative="0">
      <w:start w:val="1"/>
      <w:numFmt w:val="decimalZero"/>
      <w:pStyle w:val="93"/>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10">
    <w:nsid w:val="5B03561F"/>
    <w:multiLevelType w:val="multilevel"/>
    <w:tmpl w:val="5B03561F"/>
    <w:lvl w:ilvl="0" w:tentative="0">
      <w:start w:val="1"/>
      <w:numFmt w:val="decimalZero"/>
      <w:pStyle w:val="62"/>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6124C27A"/>
    <w:multiLevelType w:val="multilevel"/>
    <w:tmpl w:val="6124C27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6125B602"/>
    <w:multiLevelType w:val="multilevel"/>
    <w:tmpl w:val="6125B602"/>
    <w:lvl w:ilvl="0" w:tentative="0">
      <w:start w:val="1"/>
      <w:numFmt w:val="decimalFullWidth"/>
      <w:pStyle w:val="29"/>
      <w:lvlText w:val="附录%1. "/>
      <w:lvlJc w:val="left"/>
      <w:pPr>
        <w:ind w:left="420" w:hanging="420"/>
      </w:pPr>
      <w:rPr>
        <w:rFonts w:hint="eastAsia" w:ascii="Cambria" w:hAnsi="Cambria" w:eastAsia="思源黑体 CN Normal" w:cs="等线 Light"/>
        <w:color w:val="C00000"/>
      </w:rPr>
    </w:lvl>
    <w:lvl w:ilvl="1" w:tentative="0">
      <w:start w:val="1"/>
      <w:numFmt w:val="lowerLetter"/>
      <w:lvlText w:val="%2)"/>
      <w:lvlJc w:val="left"/>
      <w:pPr>
        <w:ind w:left="1165" w:hanging="420"/>
      </w:pPr>
      <w:rPr>
        <w:rFonts w:hint="eastAsia"/>
      </w:rPr>
    </w:lvl>
    <w:lvl w:ilvl="2" w:tentative="0">
      <w:start w:val="1"/>
      <w:numFmt w:val="lowerRoman"/>
      <w:lvlText w:val="%3."/>
      <w:lvlJc w:val="right"/>
      <w:pPr>
        <w:ind w:left="1585" w:hanging="420"/>
      </w:pPr>
      <w:rPr>
        <w:rFonts w:hint="eastAsia"/>
      </w:rPr>
    </w:lvl>
    <w:lvl w:ilvl="3" w:tentative="0">
      <w:start w:val="1"/>
      <w:numFmt w:val="decimal"/>
      <w:lvlText w:val="%4."/>
      <w:lvlJc w:val="left"/>
      <w:pPr>
        <w:ind w:left="2005" w:hanging="420"/>
      </w:pPr>
      <w:rPr>
        <w:rFonts w:hint="eastAsia"/>
      </w:rPr>
    </w:lvl>
    <w:lvl w:ilvl="4" w:tentative="0">
      <w:start w:val="1"/>
      <w:numFmt w:val="lowerLetter"/>
      <w:lvlText w:val="%5)"/>
      <w:lvlJc w:val="left"/>
      <w:pPr>
        <w:ind w:left="2425" w:hanging="420"/>
      </w:pPr>
      <w:rPr>
        <w:rFonts w:hint="eastAsia"/>
      </w:rPr>
    </w:lvl>
    <w:lvl w:ilvl="5" w:tentative="0">
      <w:start w:val="1"/>
      <w:numFmt w:val="lowerRoman"/>
      <w:lvlText w:val="%6."/>
      <w:lvlJc w:val="right"/>
      <w:pPr>
        <w:ind w:left="2845" w:hanging="420"/>
      </w:pPr>
      <w:rPr>
        <w:rFonts w:hint="eastAsia"/>
      </w:rPr>
    </w:lvl>
    <w:lvl w:ilvl="6" w:tentative="0">
      <w:start w:val="1"/>
      <w:numFmt w:val="decimal"/>
      <w:lvlText w:val="%7."/>
      <w:lvlJc w:val="left"/>
      <w:pPr>
        <w:ind w:left="3265" w:hanging="420"/>
      </w:pPr>
      <w:rPr>
        <w:rFonts w:hint="eastAsia"/>
      </w:rPr>
    </w:lvl>
    <w:lvl w:ilvl="7" w:tentative="0">
      <w:start w:val="1"/>
      <w:numFmt w:val="lowerLetter"/>
      <w:lvlText w:val="%8)"/>
      <w:lvlJc w:val="left"/>
      <w:pPr>
        <w:ind w:left="3685" w:hanging="420"/>
      </w:pPr>
      <w:rPr>
        <w:rFonts w:hint="eastAsia"/>
      </w:rPr>
    </w:lvl>
    <w:lvl w:ilvl="8" w:tentative="0">
      <w:start w:val="1"/>
      <w:numFmt w:val="lowerRoman"/>
      <w:lvlText w:val="%9."/>
      <w:lvlJc w:val="right"/>
      <w:pPr>
        <w:ind w:left="4105" w:hanging="420"/>
      </w:pPr>
      <w:rPr>
        <w:rFonts w:hint="eastAsia"/>
      </w:rPr>
    </w:lvl>
  </w:abstractNum>
  <w:abstractNum w:abstractNumId="13">
    <w:nsid w:val="6125B639"/>
    <w:multiLevelType w:val="multilevel"/>
    <w:tmpl w:val="6125B639"/>
    <w:lvl w:ilvl="0" w:tentative="0">
      <w:start w:val="1"/>
      <w:numFmt w:val="decimal"/>
      <w:pStyle w:val="35"/>
      <w:lvlText w:val="E0%1. "/>
      <w:lvlJc w:val="left"/>
      <w:pPr>
        <w:ind w:left="2111" w:hanging="420"/>
      </w:pPr>
      <w:rPr>
        <w:rFonts w:hint="default" w:ascii="微软雅黑" w:hAnsi="微软雅黑" w:eastAsia="微软雅黑" w:cs="Ari"/>
        <w:b/>
        <w:color w:val="auto"/>
      </w:rPr>
    </w:lvl>
    <w:lvl w:ilvl="1" w:tentative="0">
      <w:start w:val="1"/>
      <w:numFmt w:val="bullet"/>
      <w:lvlText w:val=""/>
      <w:lvlJc w:val="left"/>
      <w:pPr>
        <w:ind w:left="2242" w:hanging="420"/>
      </w:pPr>
      <w:rPr>
        <w:rFonts w:hint="default" w:ascii="Symbol" w:hAnsi="Symbol"/>
      </w:rPr>
    </w:lvl>
    <w:lvl w:ilvl="2" w:tentative="0">
      <w:start w:val="1"/>
      <w:numFmt w:val="bullet"/>
      <w:lvlText w:val=""/>
      <w:lvlJc w:val="left"/>
      <w:pPr>
        <w:ind w:left="2662" w:hanging="420"/>
      </w:pPr>
      <w:rPr>
        <w:rFonts w:hint="default" w:ascii="Symbol" w:hAnsi="Symbol"/>
      </w:rPr>
    </w:lvl>
    <w:lvl w:ilvl="3" w:tentative="0">
      <w:start w:val="1"/>
      <w:numFmt w:val="bullet"/>
      <w:lvlText w:val=""/>
      <w:lvlJc w:val="left"/>
      <w:pPr>
        <w:ind w:left="3082" w:hanging="420"/>
      </w:pPr>
      <w:rPr>
        <w:rFonts w:hint="default" w:ascii="Symbol" w:hAnsi="Symbol"/>
      </w:rPr>
    </w:lvl>
    <w:lvl w:ilvl="4" w:tentative="0">
      <w:start w:val="1"/>
      <w:numFmt w:val="bullet"/>
      <w:lvlText w:val=""/>
      <w:lvlJc w:val="left"/>
      <w:pPr>
        <w:ind w:left="3502" w:hanging="420"/>
      </w:pPr>
      <w:rPr>
        <w:rFonts w:hint="default" w:ascii="Symbol" w:hAnsi="Symbol"/>
      </w:rPr>
    </w:lvl>
    <w:lvl w:ilvl="5" w:tentative="0">
      <w:start w:val="1"/>
      <w:numFmt w:val="bullet"/>
      <w:lvlText w:val=""/>
      <w:lvlJc w:val="left"/>
      <w:pPr>
        <w:ind w:left="3922" w:hanging="420"/>
      </w:pPr>
      <w:rPr>
        <w:rFonts w:hint="default" w:ascii="Symbol" w:hAnsi="Symbol"/>
      </w:rPr>
    </w:lvl>
    <w:lvl w:ilvl="6" w:tentative="0">
      <w:start w:val="1"/>
      <w:numFmt w:val="bullet"/>
      <w:lvlText w:val=""/>
      <w:lvlJc w:val="left"/>
      <w:pPr>
        <w:ind w:left="4342" w:hanging="420"/>
      </w:pPr>
      <w:rPr>
        <w:rFonts w:hint="default" w:ascii="Symbol" w:hAnsi="Symbol"/>
      </w:rPr>
    </w:lvl>
    <w:lvl w:ilvl="7" w:tentative="0">
      <w:start w:val="1"/>
      <w:numFmt w:val="bullet"/>
      <w:lvlText w:val=""/>
      <w:lvlJc w:val="left"/>
      <w:pPr>
        <w:ind w:left="4762" w:hanging="420"/>
      </w:pPr>
      <w:rPr>
        <w:rFonts w:hint="default" w:ascii="Symbol" w:hAnsi="Symbol"/>
      </w:rPr>
    </w:lvl>
    <w:lvl w:ilvl="8" w:tentative="0">
      <w:start w:val="1"/>
      <w:numFmt w:val="bullet"/>
      <w:lvlText w:val=""/>
      <w:lvlJc w:val="left"/>
      <w:pPr>
        <w:ind w:left="5182" w:hanging="420"/>
      </w:pPr>
      <w:rPr>
        <w:rFonts w:hint="default" w:ascii="Symbol" w:hAnsi="Symbol"/>
      </w:rPr>
    </w:lvl>
  </w:abstractNum>
  <w:abstractNum w:abstractNumId="14">
    <w:nsid w:val="6125D276"/>
    <w:multiLevelType w:val="singleLevel"/>
    <w:tmpl w:val="6125D276"/>
    <w:lvl w:ilvl="0" w:tentative="0">
      <w:start w:val="1"/>
      <w:numFmt w:val="bullet"/>
      <w:lvlText w:val=""/>
      <w:lvlJc w:val="left"/>
      <w:pPr>
        <w:tabs>
          <w:tab w:val="left" w:pos="420"/>
        </w:tabs>
        <w:ind w:left="840" w:hanging="420"/>
      </w:pPr>
      <w:rPr>
        <w:rFonts w:hint="default" w:ascii="Wingdings" w:hAnsi="Wingdings" w:eastAsia="宋体" w:cs="Wingdings"/>
        <w:sz w:val="13"/>
      </w:rPr>
    </w:lvl>
  </w:abstractNum>
  <w:abstractNum w:abstractNumId="15">
    <w:nsid w:val="6125D3A4"/>
    <w:multiLevelType w:val="singleLevel"/>
    <w:tmpl w:val="6125D3A4"/>
    <w:lvl w:ilvl="0" w:tentative="0">
      <w:start w:val="1"/>
      <w:numFmt w:val="decimal"/>
      <w:lvlText w:val="%1)"/>
      <w:lvlJc w:val="left"/>
      <w:pPr>
        <w:ind w:left="425" w:hanging="425"/>
      </w:pPr>
      <w:rPr>
        <w:rFonts w:hint="default"/>
      </w:rPr>
    </w:lvl>
  </w:abstractNum>
  <w:abstractNum w:abstractNumId="16">
    <w:nsid w:val="6125D3BE"/>
    <w:multiLevelType w:val="singleLevel"/>
    <w:tmpl w:val="6125D3BE"/>
    <w:lvl w:ilvl="0" w:tentative="0">
      <w:start w:val="1"/>
      <w:numFmt w:val="decimal"/>
      <w:lvlText w:val="%1)"/>
      <w:lvlJc w:val="left"/>
      <w:pPr>
        <w:ind w:left="425" w:hanging="425"/>
      </w:pPr>
      <w:rPr>
        <w:rFonts w:hint="default"/>
      </w:rPr>
    </w:lvl>
  </w:abstractNum>
  <w:abstractNum w:abstractNumId="17">
    <w:nsid w:val="623A4B35"/>
    <w:multiLevelType w:val="multilevel"/>
    <w:tmpl w:val="623A4B35"/>
    <w:lvl w:ilvl="0" w:tentative="0">
      <w:start w:val="1"/>
      <w:numFmt w:val="bullet"/>
      <w:lvlText w:val=""/>
      <w:lvlJc w:val="left"/>
      <w:pPr>
        <w:tabs>
          <w:tab w:val="left" w:pos="720"/>
        </w:tabs>
        <w:ind w:left="720" w:hanging="360"/>
      </w:pPr>
      <w:rPr>
        <w:rFonts w:hint="default" w:ascii="Symbol" w:hAnsi="Symbol" w:cs="Symbol"/>
        <w:sz w:val="20"/>
      </w:rPr>
    </w:lvl>
    <w:lvl w:ilvl="1" w:tentative="0">
      <w:start w:val="1"/>
      <w:numFmt w:val="bullet"/>
      <w:lvlText w:val="o"/>
      <w:lvlJc w:val="left"/>
      <w:pPr>
        <w:tabs>
          <w:tab w:val="left" w:pos="1440"/>
        </w:tabs>
        <w:ind w:left="1440" w:hanging="360"/>
      </w:pPr>
      <w:rPr>
        <w:rFonts w:hint="default" w:ascii="Courier New" w:hAnsi="Courier New" w:cs="Courier New"/>
        <w:sz w:val="20"/>
      </w:rPr>
    </w:lvl>
    <w:lvl w:ilvl="2" w:tentative="0">
      <w:start w:val="1"/>
      <w:numFmt w:val="bullet"/>
      <w:lvlText w:val=""/>
      <w:lvlJc w:val="left"/>
      <w:pPr>
        <w:tabs>
          <w:tab w:val="left" w:pos="2160"/>
        </w:tabs>
        <w:ind w:left="2160" w:hanging="360"/>
      </w:pPr>
      <w:rPr>
        <w:rFonts w:hint="default"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18">
    <w:nsid w:val="6F990B5E"/>
    <w:multiLevelType w:val="multilevel"/>
    <w:tmpl w:val="6F990B5E"/>
    <w:lvl w:ilvl="0" w:tentative="0">
      <w:start w:val="1"/>
      <w:numFmt w:val="bullet"/>
      <w:pStyle w:val="37"/>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9">
    <w:nsid w:val="7B164970"/>
    <w:multiLevelType w:val="multilevel"/>
    <w:tmpl w:val="7B164970"/>
    <w:lvl w:ilvl="0" w:tentative="0">
      <w:start w:val="1"/>
      <w:numFmt w:val="decimalZero"/>
      <w:pStyle w:val="34"/>
      <w:lvlText w:val="T%1. "/>
      <w:lvlJc w:val="left"/>
      <w:pPr>
        <w:ind w:left="927"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20">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20"/>
  </w:num>
  <w:num w:numId="2">
    <w:abstractNumId w:val="12"/>
  </w:num>
  <w:num w:numId="3">
    <w:abstractNumId w:val="2"/>
  </w:num>
  <w:num w:numId="4">
    <w:abstractNumId w:val="4"/>
  </w:num>
  <w:num w:numId="5">
    <w:abstractNumId w:val="19"/>
  </w:num>
  <w:num w:numId="6">
    <w:abstractNumId w:val="13"/>
  </w:num>
  <w:num w:numId="7">
    <w:abstractNumId w:val="18"/>
  </w:num>
  <w:num w:numId="8">
    <w:abstractNumId w:val="7"/>
  </w:num>
  <w:num w:numId="9">
    <w:abstractNumId w:val="10"/>
  </w:num>
  <w:num w:numId="10">
    <w:abstractNumId w:val="9"/>
  </w:num>
  <w:num w:numId="11">
    <w:abstractNumId w:val="8"/>
  </w:num>
  <w:num w:numId="12">
    <w:abstractNumId w:val="6"/>
  </w:num>
  <w:num w:numId="13">
    <w:abstractNumId w:val="16"/>
  </w:num>
  <w:num w:numId="14">
    <w:abstractNumId w:val="15"/>
  </w:num>
  <w:num w:numId="15">
    <w:abstractNumId w:val="17"/>
  </w:num>
  <w:num w:numId="16">
    <w:abstractNumId w:val="1"/>
  </w:num>
  <w:num w:numId="17">
    <w:abstractNumId w:val="0"/>
  </w:num>
  <w:num w:numId="18">
    <w:abstractNumId w:val="11"/>
  </w:num>
  <w:num w:numId="19">
    <w:abstractNumId w:val="14"/>
  </w:num>
  <w:num w:numId="20">
    <w:abstractNumId w:val="3"/>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displayBackgroundShape w:val="1"/>
  <w:bordersDoNotSurroundHeader w:val="1"/>
  <w:bordersDoNotSurroundFooter w:val="1"/>
  <w:documentProtection w:enforcement="0"/>
  <w:defaultTabStop w:val="178"/>
  <w:drawingGridHorizontalSpacing w:val="10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1B4C"/>
    <w:rsid w:val="00001E5C"/>
    <w:rsid w:val="00003018"/>
    <w:rsid w:val="0000309A"/>
    <w:rsid w:val="000033BF"/>
    <w:rsid w:val="0000358F"/>
    <w:rsid w:val="00003799"/>
    <w:rsid w:val="00003A65"/>
    <w:rsid w:val="0000498B"/>
    <w:rsid w:val="00004D65"/>
    <w:rsid w:val="00005405"/>
    <w:rsid w:val="0000585D"/>
    <w:rsid w:val="00005A3B"/>
    <w:rsid w:val="000060FD"/>
    <w:rsid w:val="00006186"/>
    <w:rsid w:val="000064BF"/>
    <w:rsid w:val="000066DC"/>
    <w:rsid w:val="0000715F"/>
    <w:rsid w:val="00007168"/>
    <w:rsid w:val="00007174"/>
    <w:rsid w:val="000076F5"/>
    <w:rsid w:val="00007749"/>
    <w:rsid w:val="00007D66"/>
    <w:rsid w:val="00010ACF"/>
    <w:rsid w:val="00011BED"/>
    <w:rsid w:val="00012536"/>
    <w:rsid w:val="000128F5"/>
    <w:rsid w:val="000128FC"/>
    <w:rsid w:val="00012B2E"/>
    <w:rsid w:val="00013090"/>
    <w:rsid w:val="0001423A"/>
    <w:rsid w:val="0001446C"/>
    <w:rsid w:val="00014884"/>
    <w:rsid w:val="00014C56"/>
    <w:rsid w:val="00014C92"/>
    <w:rsid w:val="00014D31"/>
    <w:rsid w:val="00015660"/>
    <w:rsid w:val="00017E95"/>
    <w:rsid w:val="00020645"/>
    <w:rsid w:val="00020E38"/>
    <w:rsid w:val="000216BA"/>
    <w:rsid w:val="00021A12"/>
    <w:rsid w:val="00021C77"/>
    <w:rsid w:val="00021EB2"/>
    <w:rsid w:val="000220AC"/>
    <w:rsid w:val="000228A0"/>
    <w:rsid w:val="00022B96"/>
    <w:rsid w:val="00023D36"/>
    <w:rsid w:val="000248A9"/>
    <w:rsid w:val="00025190"/>
    <w:rsid w:val="00026D3C"/>
    <w:rsid w:val="00026D82"/>
    <w:rsid w:val="00031366"/>
    <w:rsid w:val="00031D92"/>
    <w:rsid w:val="00032BEA"/>
    <w:rsid w:val="00032F22"/>
    <w:rsid w:val="00033085"/>
    <w:rsid w:val="00035E5E"/>
    <w:rsid w:val="00040D00"/>
    <w:rsid w:val="00041AEE"/>
    <w:rsid w:val="00041B98"/>
    <w:rsid w:val="00041E59"/>
    <w:rsid w:val="00042F8E"/>
    <w:rsid w:val="0004309F"/>
    <w:rsid w:val="00044221"/>
    <w:rsid w:val="000456A3"/>
    <w:rsid w:val="00046DFE"/>
    <w:rsid w:val="00047058"/>
    <w:rsid w:val="000476C3"/>
    <w:rsid w:val="00047A46"/>
    <w:rsid w:val="00047BC3"/>
    <w:rsid w:val="00050CEA"/>
    <w:rsid w:val="00050E4E"/>
    <w:rsid w:val="0005110D"/>
    <w:rsid w:val="00052259"/>
    <w:rsid w:val="000522BE"/>
    <w:rsid w:val="00053198"/>
    <w:rsid w:val="000535AC"/>
    <w:rsid w:val="0005409D"/>
    <w:rsid w:val="00055048"/>
    <w:rsid w:val="000552B0"/>
    <w:rsid w:val="00055C10"/>
    <w:rsid w:val="000562BA"/>
    <w:rsid w:val="00056339"/>
    <w:rsid w:val="0005672A"/>
    <w:rsid w:val="00056745"/>
    <w:rsid w:val="00056BE6"/>
    <w:rsid w:val="0005773E"/>
    <w:rsid w:val="00060994"/>
    <w:rsid w:val="00060D0A"/>
    <w:rsid w:val="00061869"/>
    <w:rsid w:val="000621DD"/>
    <w:rsid w:val="000622FA"/>
    <w:rsid w:val="000625BF"/>
    <w:rsid w:val="00062B70"/>
    <w:rsid w:val="00064430"/>
    <w:rsid w:val="000649B3"/>
    <w:rsid w:val="00064E2B"/>
    <w:rsid w:val="000656D4"/>
    <w:rsid w:val="00066BCE"/>
    <w:rsid w:val="00066C8F"/>
    <w:rsid w:val="00070991"/>
    <w:rsid w:val="000718C2"/>
    <w:rsid w:val="00073C22"/>
    <w:rsid w:val="00074803"/>
    <w:rsid w:val="00074812"/>
    <w:rsid w:val="00074BCB"/>
    <w:rsid w:val="00076640"/>
    <w:rsid w:val="00076828"/>
    <w:rsid w:val="00076C76"/>
    <w:rsid w:val="000775E4"/>
    <w:rsid w:val="00077EC9"/>
    <w:rsid w:val="00080A8B"/>
    <w:rsid w:val="000811F0"/>
    <w:rsid w:val="000818C4"/>
    <w:rsid w:val="00082861"/>
    <w:rsid w:val="00082C5F"/>
    <w:rsid w:val="000834D8"/>
    <w:rsid w:val="00083A07"/>
    <w:rsid w:val="00083D44"/>
    <w:rsid w:val="00084A9D"/>
    <w:rsid w:val="00084F4B"/>
    <w:rsid w:val="00085264"/>
    <w:rsid w:val="00087160"/>
    <w:rsid w:val="00087B7A"/>
    <w:rsid w:val="00090EFB"/>
    <w:rsid w:val="00092725"/>
    <w:rsid w:val="000928FC"/>
    <w:rsid w:val="00092B1D"/>
    <w:rsid w:val="000951C2"/>
    <w:rsid w:val="0009528B"/>
    <w:rsid w:val="000952C9"/>
    <w:rsid w:val="0009629F"/>
    <w:rsid w:val="000968C2"/>
    <w:rsid w:val="00096DD2"/>
    <w:rsid w:val="00096EB1"/>
    <w:rsid w:val="0009747E"/>
    <w:rsid w:val="0009771D"/>
    <w:rsid w:val="000A05A8"/>
    <w:rsid w:val="000A0B45"/>
    <w:rsid w:val="000A1654"/>
    <w:rsid w:val="000A18CE"/>
    <w:rsid w:val="000A1FD3"/>
    <w:rsid w:val="000A268C"/>
    <w:rsid w:val="000A3B00"/>
    <w:rsid w:val="000A3C83"/>
    <w:rsid w:val="000A3DEC"/>
    <w:rsid w:val="000A5114"/>
    <w:rsid w:val="000A5801"/>
    <w:rsid w:val="000A58B0"/>
    <w:rsid w:val="000B0331"/>
    <w:rsid w:val="000B036F"/>
    <w:rsid w:val="000B07BE"/>
    <w:rsid w:val="000B1136"/>
    <w:rsid w:val="000B1539"/>
    <w:rsid w:val="000B1C2A"/>
    <w:rsid w:val="000B285C"/>
    <w:rsid w:val="000B2CA3"/>
    <w:rsid w:val="000B4AA6"/>
    <w:rsid w:val="000B54EE"/>
    <w:rsid w:val="000B586D"/>
    <w:rsid w:val="000B6D02"/>
    <w:rsid w:val="000B7616"/>
    <w:rsid w:val="000C0594"/>
    <w:rsid w:val="000C06AA"/>
    <w:rsid w:val="000C099B"/>
    <w:rsid w:val="000C0BF1"/>
    <w:rsid w:val="000C134F"/>
    <w:rsid w:val="000C2430"/>
    <w:rsid w:val="000C2472"/>
    <w:rsid w:val="000C3081"/>
    <w:rsid w:val="000C3B78"/>
    <w:rsid w:val="000C3FB6"/>
    <w:rsid w:val="000C44A1"/>
    <w:rsid w:val="000C4B1E"/>
    <w:rsid w:val="000C4D36"/>
    <w:rsid w:val="000C5086"/>
    <w:rsid w:val="000C5F2A"/>
    <w:rsid w:val="000C5FBB"/>
    <w:rsid w:val="000C6B91"/>
    <w:rsid w:val="000C7036"/>
    <w:rsid w:val="000C7591"/>
    <w:rsid w:val="000D06AF"/>
    <w:rsid w:val="000D08E7"/>
    <w:rsid w:val="000D0CD0"/>
    <w:rsid w:val="000D2161"/>
    <w:rsid w:val="000D30A7"/>
    <w:rsid w:val="000D31D0"/>
    <w:rsid w:val="000D3351"/>
    <w:rsid w:val="000D3A82"/>
    <w:rsid w:val="000D44C6"/>
    <w:rsid w:val="000D46D4"/>
    <w:rsid w:val="000D4A3A"/>
    <w:rsid w:val="000D6AD1"/>
    <w:rsid w:val="000D6AE0"/>
    <w:rsid w:val="000D72C0"/>
    <w:rsid w:val="000D7350"/>
    <w:rsid w:val="000D7E78"/>
    <w:rsid w:val="000E0F70"/>
    <w:rsid w:val="000E1B3C"/>
    <w:rsid w:val="000E1C54"/>
    <w:rsid w:val="000E2275"/>
    <w:rsid w:val="000E2D9A"/>
    <w:rsid w:val="000E4038"/>
    <w:rsid w:val="000E564A"/>
    <w:rsid w:val="000E5A08"/>
    <w:rsid w:val="000E6982"/>
    <w:rsid w:val="000E6D73"/>
    <w:rsid w:val="000E6E40"/>
    <w:rsid w:val="000E703B"/>
    <w:rsid w:val="000E7D43"/>
    <w:rsid w:val="000F0BB6"/>
    <w:rsid w:val="000F2584"/>
    <w:rsid w:val="000F2987"/>
    <w:rsid w:val="000F2EDB"/>
    <w:rsid w:val="000F2FFD"/>
    <w:rsid w:val="000F3767"/>
    <w:rsid w:val="000F46D9"/>
    <w:rsid w:val="000F4A3B"/>
    <w:rsid w:val="000F4F12"/>
    <w:rsid w:val="000F5A6E"/>
    <w:rsid w:val="000F6478"/>
    <w:rsid w:val="000F6614"/>
    <w:rsid w:val="000F6B5C"/>
    <w:rsid w:val="00100699"/>
    <w:rsid w:val="001007B0"/>
    <w:rsid w:val="001007D0"/>
    <w:rsid w:val="00102A42"/>
    <w:rsid w:val="00103874"/>
    <w:rsid w:val="001047A1"/>
    <w:rsid w:val="001050CA"/>
    <w:rsid w:val="00105A7E"/>
    <w:rsid w:val="0010617A"/>
    <w:rsid w:val="00106496"/>
    <w:rsid w:val="001064FA"/>
    <w:rsid w:val="00106899"/>
    <w:rsid w:val="00107968"/>
    <w:rsid w:val="00107A7D"/>
    <w:rsid w:val="0011051E"/>
    <w:rsid w:val="00110CAF"/>
    <w:rsid w:val="001115B2"/>
    <w:rsid w:val="0011169C"/>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2076"/>
    <w:rsid w:val="00123622"/>
    <w:rsid w:val="00124D45"/>
    <w:rsid w:val="001250F6"/>
    <w:rsid w:val="00126293"/>
    <w:rsid w:val="00127145"/>
    <w:rsid w:val="00127A74"/>
    <w:rsid w:val="00127C46"/>
    <w:rsid w:val="0013051B"/>
    <w:rsid w:val="001317B4"/>
    <w:rsid w:val="00131AA9"/>
    <w:rsid w:val="00131F6D"/>
    <w:rsid w:val="00134912"/>
    <w:rsid w:val="001363F6"/>
    <w:rsid w:val="00136868"/>
    <w:rsid w:val="00136E62"/>
    <w:rsid w:val="0013734B"/>
    <w:rsid w:val="0014008D"/>
    <w:rsid w:val="001404B9"/>
    <w:rsid w:val="001409FD"/>
    <w:rsid w:val="00141153"/>
    <w:rsid w:val="00141F95"/>
    <w:rsid w:val="00143A35"/>
    <w:rsid w:val="00144702"/>
    <w:rsid w:val="0014496A"/>
    <w:rsid w:val="00144C80"/>
    <w:rsid w:val="001451F2"/>
    <w:rsid w:val="00145E8F"/>
    <w:rsid w:val="00146004"/>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7F3"/>
    <w:rsid w:val="0015388B"/>
    <w:rsid w:val="00154393"/>
    <w:rsid w:val="00154F38"/>
    <w:rsid w:val="00155A3B"/>
    <w:rsid w:val="00155BFE"/>
    <w:rsid w:val="00156A09"/>
    <w:rsid w:val="00157677"/>
    <w:rsid w:val="0016172C"/>
    <w:rsid w:val="00161D3E"/>
    <w:rsid w:val="00161ED9"/>
    <w:rsid w:val="00162566"/>
    <w:rsid w:val="001634B9"/>
    <w:rsid w:val="0016353B"/>
    <w:rsid w:val="00165A5E"/>
    <w:rsid w:val="0016646E"/>
    <w:rsid w:val="001672A4"/>
    <w:rsid w:val="00171049"/>
    <w:rsid w:val="00171CFF"/>
    <w:rsid w:val="0017292B"/>
    <w:rsid w:val="00172F9D"/>
    <w:rsid w:val="00173BA5"/>
    <w:rsid w:val="00174708"/>
    <w:rsid w:val="00174E7C"/>
    <w:rsid w:val="00175056"/>
    <w:rsid w:val="00175777"/>
    <w:rsid w:val="00175989"/>
    <w:rsid w:val="00175B0C"/>
    <w:rsid w:val="001765E4"/>
    <w:rsid w:val="00177D59"/>
    <w:rsid w:val="00180030"/>
    <w:rsid w:val="0018109D"/>
    <w:rsid w:val="00181527"/>
    <w:rsid w:val="00181A88"/>
    <w:rsid w:val="00182474"/>
    <w:rsid w:val="00182954"/>
    <w:rsid w:val="00182DEB"/>
    <w:rsid w:val="00184391"/>
    <w:rsid w:val="00185185"/>
    <w:rsid w:val="001851CC"/>
    <w:rsid w:val="001859AB"/>
    <w:rsid w:val="00186B36"/>
    <w:rsid w:val="00190674"/>
    <w:rsid w:val="00190C1B"/>
    <w:rsid w:val="0019194A"/>
    <w:rsid w:val="00192A3C"/>
    <w:rsid w:val="00192BB5"/>
    <w:rsid w:val="00193658"/>
    <w:rsid w:val="001945F0"/>
    <w:rsid w:val="0019511A"/>
    <w:rsid w:val="001962A6"/>
    <w:rsid w:val="00196955"/>
    <w:rsid w:val="0019713B"/>
    <w:rsid w:val="00197CD7"/>
    <w:rsid w:val="001A0CBB"/>
    <w:rsid w:val="001A1097"/>
    <w:rsid w:val="001A22FC"/>
    <w:rsid w:val="001A314A"/>
    <w:rsid w:val="001A4EC0"/>
    <w:rsid w:val="001A6188"/>
    <w:rsid w:val="001A7BA3"/>
    <w:rsid w:val="001A7E79"/>
    <w:rsid w:val="001B0AC7"/>
    <w:rsid w:val="001B0E1C"/>
    <w:rsid w:val="001B0FF5"/>
    <w:rsid w:val="001B13BA"/>
    <w:rsid w:val="001B13EA"/>
    <w:rsid w:val="001B1AA7"/>
    <w:rsid w:val="001B1E98"/>
    <w:rsid w:val="001B2D5A"/>
    <w:rsid w:val="001B2DA8"/>
    <w:rsid w:val="001B2F0E"/>
    <w:rsid w:val="001B32B1"/>
    <w:rsid w:val="001B44C7"/>
    <w:rsid w:val="001B454D"/>
    <w:rsid w:val="001B4733"/>
    <w:rsid w:val="001B691D"/>
    <w:rsid w:val="001B6C04"/>
    <w:rsid w:val="001B6DAE"/>
    <w:rsid w:val="001B7D72"/>
    <w:rsid w:val="001C17F7"/>
    <w:rsid w:val="001C1F26"/>
    <w:rsid w:val="001C2022"/>
    <w:rsid w:val="001C206A"/>
    <w:rsid w:val="001C2D8A"/>
    <w:rsid w:val="001C2E96"/>
    <w:rsid w:val="001C426B"/>
    <w:rsid w:val="001C4297"/>
    <w:rsid w:val="001C5238"/>
    <w:rsid w:val="001C537D"/>
    <w:rsid w:val="001C55A5"/>
    <w:rsid w:val="001C5F47"/>
    <w:rsid w:val="001C5FBD"/>
    <w:rsid w:val="001C60E2"/>
    <w:rsid w:val="001C7969"/>
    <w:rsid w:val="001D0499"/>
    <w:rsid w:val="001D0E89"/>
    <w:rsid w:val="001D1A4C"/>
    <w:rsid w:val="001D1EE4"/>
    <w:rsid w:val="001D29C1"/>
    <w:rsid w:val="001D2FC8"/>
    <w:rsid w:val="001D3E55"/>
    <w:rsid w:val="001D417E"/>
    <w:rsid w:val="001D47F0"/>
    <w:rsid w:val="001D5527"/>
    <w:rsid w:val="001D5802"/>
    <w:rsid w:val="001D736D"/>
    <w:rsid w:val="001D7AB0"/>
    <w:rsid w:val="001E0AE9"/>
    <w:rsid w:val="001E0C16"/>
    <w:rsid w:val="001E164C"/>
    <w:rsid w:val="001E17A3"/>
    <w:rsid w:val="001E1DA7"/>
    <w:rsid w:val="001E1DDB"/>
    <w:rsid w:val="001E2157"/>
    <w:rsid w:val="001E243B"/>
    <w:rsid w:val="001E25B3"/>
    <w:rsid w:val="001E3726"/>
    <w:rsid w:val="001E3D96"/>
    <w:rsid w:val="001E3FE9"/>
    <w:rsid w:val="001E4953"/>
    <w:rsid w:val="001E512C"/>
    <w:rsid w:val="001E5626"/>
    <w:rsid w:val="001E5779"/>
    <w:rsid w:val="001E5A34"/>
    <w:rsid w:val="001E5BC8"/>
    <w:rsid w:val="001E6017"/>
    <w:rsid w:val="001E65E7"/>
    <w:rsid w:val="001E777F"/>
    <w:rsid w:val="001F1D7B"/>
    <w:rsid w:val="001F1FC0"/>
    <w:rsid w:val="001F315B"/>
    <w:rsid w:val="001F48CC"/>
    <w:rsid w:val="001F4D89"/>
    <w:rsid w:val="001F58AD"/>
    <w:rsid w:val="001F5F3B"/>
    <w:rsid w:val="001F6B58"/>
    <w:rsid w:val="001F6D2B"/>
    <w:rsid w:val="001F7060"/>
    <w:rsid w:val="001F72D1"/>
    <w:rsid w:val="001F7626"/>
    <w:rsid w:val="001F7DD6"/>
    <w:rsid w:val="00200B81"/>
    <w:rsid w:val="00200EA5"/>
    <w:rsid w:val="002010C4"/>
    <w:rsid w:val="00201947"/>
    <w:rsid w:val="0020287E"/>
    <w:rsid w:val="002034B6"/>
    <w:rsid w:val="00204712"/>
    <w:rsid w:val="0020477A"/>
    <w:rsid w:val="00205512"/>
    <w:rsid w:val="00207678"/>
    <w:rsid w:val="00207A7B"/>
    <w:rsid w:val="00207C29"/>
    <w:rsid w:val="00207C88"/>
    <w:rsid w:val="00207F55"/>
    <w:rsid w:val="00207F91"/>
    <w:rsid w:val="00207FDB"/>
    <w:rsid w:val="002102FE"/>
    <w:rsid w:val="00212829"/>
    <w:rsid w:val="00212993"/>
    <w:rsid w:val="00212F0D"/>
    <w:rsid w:val="002134E2"/>
    <w:rsid w:val="00213ACB"/>
    <w:rsid w:val="00213C4C"/>
    <w:rsid w:val="00214ABB"/>
    <w:rsid w:val="00215059"/>
    <w:rsid w:val="002154C7"/>
    <w:rsid w:val="00215C96"/>
    <w:rsid w:val="00216DB2"/>
    <w:rsid w:val="00216E29"/>
    <w:rsid w:val="00220484"/>
    <w:rsid w:val="00220491"/>
    <w:rsid w:val="00220AA9"/>
    <w:rsid w:val="00220DAA"/>
    <w:rsid w:val="0022122A"/>
    <w:rsid w:val="00222371"/>
    <w:rsid w:val="002226EC"/>
    <w:rsid w:val="00223217"/>
    <w:rsid w:val="00223434"/>
    <w:rsid w:val="002238A1"/>
    <w:rsid w:val="00223EA8"/>
    <w:rsid w:val="00224BAC"/>
    <w:rsid w:val="002265D8"/>
    <w:rsid w:val="00226664"/>
    <w:rsid w:val="00227218"/>
    <w:rsid w:val="002307B3"/>
    <w:rsid w:val="00230B2F"/>
    <w:rsid w:val="00230BE2"/>
    <w:rsid w:val="0023308F"/>
    <w:rsid w:val="0023463D"/>
    <w:rsid w:val="00234B6D"/>
    <w:rsid w:val="00234F1F"/>
    <w:rsid w:val="00235D93"/>
    <w:rsid w:val="002362BA"/>
    <w:rsid w:val="002370D2"/>
    <w:rsid w:val="00237167"/>
    <w:rsid w:val="00240D55"/>
    <w:rsid w:val="00241C1B"/>
    <w:rsid w:val="002425FC"/>
    <w:rsid w:val="00242E25"/>
    <w:rsid w:val="0024301D"/>
    <w:rsid w:val="00243CBC"/>
    <w:rsid w:val="00243CD2"/>
    <w:rsid w:val="00243F45"/>
    <w:rsid w:val="00244716"/>
    <w:rsid w:val="00245877"/>
    <w:rsid w:val="002459EC"/>
    <w:rsid w:val="002461E7"/>
    <w:rsid w:val="002465CF"/>
    <w:rsid w:val="00246D84"/>
    <w:rsid w:val="002472BE"/>
    <w:rsid w:val="002476AB"/>
    <w:rsid w:val="00247DE4"/>
    <w:rsid w:val="002502B1"/>
    <w:rsid w:val="00250838"/>
    <w:rsid w:val="0025099A"/>
    <w:rsid w:val="00250F7F"/>
    <w:rsid w:val="00254186"/>
    <w:rsid w:val="00254364"/>
    <w:rsid w:val="002544AF"/>
    <w:rsid w:val="002549E6"/>
    <w:rsid w:val="00255C58"/>
    <w:rsid w:val="0025727E"/>
    <w:rsid w:val="002572E0"/>
    <w:rsid w:val="0025737E"/>
    <w:rsid w:val="00257CBA"/>
    <w:rsid w:val="00257DD1"/>
    <w:rsid w:val="00260FF0"/>
    <w:rsid w:val="00261C77"/>
    <w:rsid w:val="00261D1E"/>
    <w:rsid w:val="00262489"/>
    <w:rsid w:val="00262856"/>
    <w:rsid w:val="00263518"/>
    <w:rsid w:val="00263814"/>
    <w:rsid w:val="0026395B"/>
    <w:rsid w:val="0026415C"/>
    <w:rsid w:val="0026467E"/>
    <w:rsid w:val="00264794"/>
    <w:rsid w:val="00264CBD"/>
    <w:rsid w:val="002713C8"/>
    <w:rsid w:val="0027253E"/>
    <w:rsid w:val="002725E9"/>
    <w:rsid w:val="00272DBE"/>
    <w:rsid w:val="00272E3C"/>
    <w:rsid w:val="00273993"/>
    <w:rsid w:val="00273C59"/>
    <w:rsid w:val="00274566"/>
    <w:rsid w:val="002751C1"/>
    <w:rsid w:val="00275E21"/>
    <w:rsid w:val="00280508"/>
    <w:rsid w:val="002807C1"/>
    <w:rsid w:val="002808B8"/>
    <w:rsid w:val="00280E68"/>
    <w:rsid w:val="0028212E"/>
    <w:rsid w:val="00282AC1"/>
    <w:rsid w:val="002845C6"/>
    <w:rsid w:val="00284BBE"/>
    <w:rsid w:val="00285E8E"/>
    <w:rsid w:val="00286A19"/>
    <w:rsid w:val="00286DAE"/>
    <w:rsid w:val="00290315"/>
    <w:rsid w:val="00290E8B"/>
    <w:rsid w:val="00290EC3"/>
    <w:rsid w:val="00291280"/>
    <w:rsid w:val="002916C5"/>
    <w:rsid w:val="00292399"/>
    <w:rsid w:val="00292768"/>
    <w:rsid w:val="00292D93"/>
    <w:rsid w:val="00292E5E"/>
    <w:rsid w:val="00293920"/>
    <w:rsid w:val="0029433A"/>
    <w:rsid w:val="00295A25"/>
    <w:rsid w:val="00295AA2"/>
    <w:rsid w:val="00295AF8"/>
    <w:rsid w:val="0029697E"/>
    <w:rsid w:val="00297B89"/>
    <w:rsid w:val="002A00AC"/>
    <w:rsid w:val="002A00FF"/>
    <w:rsid w:val="002A0408"/>
    <w:rsid w:val="002A1EB1"/>
    <w:rsid w:val="002A2167"/>
    <w:rsid w:val="002A282D"/>
    <w:rsid w:val="002A3842"/>
    <w:rsid w:val="002A3A90"/>
    <w:rsid w:val="002A4047"/>
    <w:rsid w:val="002A4863"/>
    <w:rsid w:val="002A492F"/>
    <w:rsid w:val="002A4972"/>
    <w:rsid w:val="002B0A08"/>
    <w:rsid w:val="002B21EF"/>
    <w:rsid w:val="002B2C0D"/>
    <w:rsid w:val="002B3F29"/>
    <w:rsid w:val="002B3F8F"/>
    <w:rsid w:val="002B4B1A"/>
    <w:rsid w:val="002B511B"/>
    <w:rsid w:val="002B511F"/>
    <w:rsid w:val="002B5510"/>
    <w:rsid w:val="002B6CB5"/>
    <w:rsid w:val="002B7102"/>
    <w:rsid w:val="002C0597"/>
    <w:rsid w:val="002C0BC2"/>
    <w:rsid w:val="002C0E8A"/>
    <w:rsid w:val="002C18FD"/>
    <w:rsid w:val="002C1D0D"/>
    <w:rsid w:val="002C2CB6"/>
    <w:rsid w:val="002C3D53"/>
    <w:rsid w:val="002C3EA3"/>
    <w:rsid w:val="002C44E3"/>
    <w:rsid w:val="002C5596"/>
    <w:rsid w:val="002C56AF"/>
    <w:rsid w:val="002C57E9"/>
    <w:rsid w:val="002C6B72"/>
    <w:rsid w:val="002C7408"/>
    <w:rsid w:val="002C7B08"/>
    <w:rsid w:val="002C7BFC"/>
    <w:rsid w:val="002D10C6"/>
    <w:rsid w:val="002D1382"/>
    <w:rsid w:val="002D1951"/>
    <w:rsid w:val="002D245A"/>
    <w:rsid w:val="002D2EA8"/>
    <w:rsid w:val="002D2FA5"/>
    <w:rsid w:val="002D3AB7"/>
    <w:rsid w:val="002D4094"/>
    <w:rsid w:val="002D56E0"/>
    <w:rsid w:val="002D5933"/>
    <w:rsid w:val="002D59D6"/>
    <w:rsid w:val="002D651D"/>
    <w:rsid w:val="002D6C92"/>
    <w:rsid w:val="002D6F46"/>
    <w:rsid w:val="002D730E"/>
    <w:rsid w:val="002E0C51"/>
    <w:rsid w:val="002E228F"/>
    <w:rsid w:val="002E28D1"/>
    <w:rsid w:val="002E2E04"/>
    <w:rsid w:val="002E2FB8"/>
    <w:rsid w:val="002E3E0E"/>
    <w:rsid w:val="002E3F5C"/>
    <w:rsid w:val="002E4CB8"/>
    <w:rsid w:val="002E5454"/>
    <w:rsid w:val="002E568C"/>
    <w:rsid w:val="002E62EF"/>
    <w:rsid w:val="002F0BA5"/>
    <w:rsid w:val="002F1269"/>
    <w:rsid w:val="002F1E82"/>
    <w:rsid w:val="002F434F"/>
    <w:rsid w:val="002F43B9"/>
    <w:rsid w:val="002F43E0"/>
    <w:rsid w:val="002F58DC"/>
    <w:rsid w:val="002F6E9D"/>
    <w:rsid w:val="002F6EDE"/>
    <w:rsid w:val="002F79AE"/>
    <w:rsid w:val="0030058B"/>
    <w:rsid w:val="00301485"/>
    <w:rsid w:val="0030244D"/>
    <w:rsid w:val="00302AA4"/>
    <w:rsid w:val="00302EF4"/>
    <w:rsid w:val="00303547"/>
    <w:rsid w:val="00303980"/>
    <w:rsid w:val="00303E68"/>
    <w:rsid w:val="00304285"/>
    <w:rsid w:val="00304A8A"/>
    <w:rsid w:val="00305623"/>
    <w:rsid w:val="00306DD1"/>
    <w:rsid w:val="003073DE"/>
    <w:rsid w:val="003104E1"/>
    <w:rsid w:val="00310AE8"/>
    <w:rsid w:val="00310C4E"/>
    <w:rsid w:val="00310FE8"/>
    <w:rsid w:val="00311B63"/>
    <w:rsid w:val="003125D7"/>
    <w:rsid w:val="0031361C"/>
    <w:rsid w:val="00314FEB"/>
    <w:rsid w:val="003151FE"/>
    <w:rsid w:val="003156DA"/>
    <w:rsid w:val="003202D4"/>
    <w:rsid w:val="0032071D"/>
    <w:rsid w:val="00320EF8"/>
    <w:rsid w:val="0032156A"/>
    <w:rsid w:val="003222FE"/>
    <w:rsid w:val="00322A77"/>
    <w:rsid w:val="00322FA5"/>
    <w:rsid w:val="003238AC"/>
    <w:rsid w:val="00324191"/>
    <w:rsid w:val="00324A1B"/>
    <w:rsid w:val="003257D3"/>
    <w:rsid w:val="00326656"/>
    <w:rsid w:val="0032675B"/>
    <w:rsid w:val="00327575"/>
    <w:rsid w:val="003277F7"/>
    <w:rsid w:val="00330696"/>
    <w:rsid w:val="003312D5"/>
    <w:rsid w:val="0033235F"/>
    <w:rsid w:val="0033280C"/>
    <w:rsid w:val="00332BC1"/>
    <w:rsid w:val="0033348C"/>
    <w:rsid w:val="003336E2"/>
    <w:rsid w:val="00334536"/>
    <w:rsid w:val="00335FF0"/>
    <w:rsid w:val="003362B7"/>
    <w:rsid w:val="0033794B"/>
    <w:rsid w:val="00340B2B"/>
    <w:rsid w:val="00340E14"/>
    <w:rsid w:val="00341528"/>
    <w:rsid w:val="0034168D"/>
    <w:rsid w:val="00341E3B"/>
    <w:rsid w:val="0034287C"/>
    <w:rsid w:val="00342D08"/>
    <w:rsid w:val="003434C2"/>
    <w:rsid w:val="003434D3"/>
    <w:rsid w:val="00344535"/>
    <w:rsid w:val="00345157"/>
    <w:rsid w:val="00346565"/>
    <w:rsid w:val="00346B30"/>
    <w:rsid w:val="003474AF"/>
    <w:rsid w:val="00347762"/>
    <w:rsid w:val="00347BB4"/>
    <w:rsid w:val="00350091"/>
    <w:rsid w:val="003508F0"/>
    <w:rsid w:val="003518BA"/>
    <w:rsid w:val="00351A4E"/>
    <w:rsid w:val="00351AA4"/>
    <w:rsid w:val="00352799"/>
    <w:rsid w:val="0035309D"/>
    <w:rsid w:val="003534F0"/>
    <w:rsid w:val="00354163"/>
    <w:rsid w:val="00354734"/>
    <w:rsid w:val="00354A92"/>
    <w:rsid w:val="00356121"/>
    <w:rsid w:val="003561C6"/>
    <w:rsid w:val="0035621C"/>
    <w:rsid w:val="0035629F"/>
    <w:rsid w:val="0035647C"/>
    <w:rsid w:val="00356547"/>
    <w:rsid w:val="00360884"/>
    <w:rsid w:val="00361873"/>
    <w:rsid w:val="00362586"/>
    <w:rsid w:val="00363D90"/>
    <w:rsid w:val="00364106"/>
    <w:rsid w:val="003649A7"/>
    <w:rsid w:val="003649AF"/>
    <w:rsid w:val="00364F1F"/>
    <w:rsid w:val="00365135"/>
    <w:rsid w:val="00365D2F"/>
    <w:rsid w:val="00366AD1"/>
    <w:rsid w:val="0036727A"/>
    <w:rsid w:val="003672A4"/>
    <w:rsid w:val="00370B5C"/>
    <w:rsid w:val="00370F82"/>
    <w:rsid w:val="003713E1"/>
    <w:rsid w:val="003725B7"/>
    <w:rsid w:val="00372B67"/>
    <w:rsid w:val="00372F59"/>
    <w:rsid w:val="003750F6"/>
    <w:rsid w:val="00375287"/>
    <w:rsid w:val="003755DC"/>
    <w:rsid w:val="003756FA"/>
    <w:rsid w:val="00375974"/>
    <w:rsid w:val="003759E6"/>
    <w:rsid w:val="00376C80"/>
    <w:rsid w:val="003775BC"/>
    <w:rsid w:val="00377A85"/>
    <w:rsid w:val="003803BE"/>
    <w:rsid w:val="00380B12"/>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F56"/>
    <w:rsid w:val="003921FF"/>
    <w:rsid w:val="0039243E"/>
    <w:rsid w:val="003930BE"/>
    <w:rsid w:val="00393DA9"/>
    <w:rsid w:val="00393F2F"/>
    <w:rsid w:val="0039479C"/>
    <w:rsid w:val="00394CC0"/>
    <w:rsid w:val="003951AB"/>
    <w:rsid w:val="0039570F"/>
    <w:rsid w:val="00396A24"/>
    <w:rsid w:val="00396C80"/>
    <w:rsid w:val="0039703D"/>
    <w:rsid w:val="0039712C"/>
    <w:rsid w:val="00397154"/>
    <w:rsid w:val="00397331"/>
    <w:rsid w:val="00397B54"/>
    <w:rsid w:val="003A03AC"/>
    <w:rsid w:val="003A0889"/>
    <w:rsid w:val="003A0AC7"/>
    <w:rsid w:val="003A0B34"/>
    <w:rsid w:val="003A0D67"/>
    <w:rsid w:val="003A1911"/>
    <w:rsid w:val="003A1D72"/>
    <w:rsid w:val="003A2274"/>
    <w:rsid w:val="003A3252"/>
    <w:rsid w:val="003A33E8"/>
    <w:rsid w:val="003A35CD"/>
    <w:rsid w:val="003A3769"/>
    <w:rsid w:val="003A581D"/>
    <w:rsid w:val="003A5F0A"/>
    <w:rsid w:val="003A64E7"/>
    <w:rsid w:val="003A7677"/>
    <w:rsid w:val="003A7F0C"/>
    <w:rsid w:val="003B0943"/>
    <w:rsid w:val="003B149E"/>
    <w:rsid w:val="003B23A6"/>
    <w:rsid w:val="003B5A66"/>
    <w:rsid w:val="003B6497"/>
    <w:rsid w:val="003B757B"/>
    <w:rsid w:val="003C0184"/>
    <w:rsid w:val="003C0B19"/>
    <w:rsid w:val="003C174C"/>
    <w:rsid w:val="003C1CE7"/>
    <w:rsid w:val="003C28E6"/>
    <w:rsid w:val="003C2CE8"/>
    <w:rsid w:val="003C3489"/>
    <w:rsid w:val="003C44CC"/>
    <w:rsid w:val="003C4753"/>
    <w:rsid w:val="003C4BD2"/>
    <w:rsid w:val="003C4DAC"/>
    <w:rsid w:val="003C565C"/>
    <w:rsid w:val="003C61BB"/>
    <w:rsid w:val="003C65DB"/>
    <w:rsid w:val="003C6673"/>
    <w:rsid w:val="003C6E20"/>
    <w:rsid w:val="003C71FD"/>
    <w:rsid w:val="003C7A51"/>
    <w:rsid w:val="003C7CEE"/>
    <w:rsid w:val="003C7E2B"/>
    <w:rsid w:val="003C7F6C"/>
    <w:rsid w:val="003D043D"/>
    <w:rsid w:val="003D1948"/>
    <w:rsid w:val="003D210E"/>
    <w:rsid w:val="003D2706"/>
    <w:rsid w:val="003D3472"/>
    <w:rsid w:val="003D3790"/>
    <w:rsid w:val="003D5073"/>
    <w:rsid w:val="003D5589"/>
    <w:rsid w:val="003D58A1"/>
    <w:rsid w:val="003D6FD7"/>
    <w:rsid w:val="003D72EF"/>
    <w:rsid w:val="003E06E3"/>
    <w:rsid w:val="003E10E7"/>
    <w:rsid w:val="003E1B4D"/>
    <w:rsid w:val="003E310B"/>
    <w:rsid w:val="003E33AB"/>
    <w:rsid w:val="003E4462"/>
    <w:rsid w:val="003E54E4"/>
    <w:rsid w:val="003E6762"/>
    <w:rsid w:val="003E70CF"/>
    <w:rsid w:val="003E7472"/>
    <w:rsid w:val="003E77C1"/>
    <w:rsid w:val="003F0361"/>
    <w:rsid w:val="003F0B0D"/>
    <w:rsid w:val="003F109D"/>
    <w:rsid w:val="003F1E1E"/>
    <w:rsid w:val="003F1FA4"/>
    <w:rsid w:val="003F2125"/>
    <w:rsid w:val="003F2141"/>
    <w:rsid w:val="003F21D2"/>
    <w:rsid w:val="003F41FE"/>
    <w:rsid w:val="003F43D8"/>
    <w:rsid w:val="003F5033"/>
    <w:rsid w:val="003F5835"/>
    <w:rsid w:val="003F5CEC"/>
    <w:rsid w:val="003F5EAE"/>
    <w:rsid w:val="003F6BBF"/>
    <w:rsid w:val="00402BAD"/>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70C7"/>
    <w:rsid w:val="004175BE"/>
    <w:rsid w:val="00417C9A"/>
    <w:rsid w:val="00420EE7"/>
    <w:rsid w:val="0042128B"/>
    <w:rsid w:val="00421D24"/>
    <w:rsid w:val="00421DB0"/>
    <w:rsid w:val="00422070"/>
    <w:rsid w:val="00422807"/>
    <w:rsid w:val="00422AD4"/>
    <w:rsid w:val="00423699"/>
    <w:rsid w:val="00423E37"/>
    <w:rsid w:val="00424229"/>
    <w:rsid w:val="0042477C"/>
    <w:rsid w:val="0042547D"/>
    <w:rsid w:val="00425626"/>
    <w:rsid w:val="00426740"/>
    <w:rsid w:val="004270A1"/>
    <w:rsid w:val="00427226"/>
    <w:rsid w:val="00427315"/>
    <w:rsid w:val="00430298"/>
    <w:rsid w:val="0043071B"/>
    <w:rsid w:val="00431371"/>
    <w:rsid w:val="00431B87"/>
    <w:rsid w:val="00431D4C"/>
    <w:rsid w:val="0043267E"/>
    <w:rsid w:val="00432BAD"/>
    <w:rsid w:val="004342FE"/>
    <w:rsid w:val="0043461C"/>
    <w:rsid w:val="00434CE1"/>
    <w:rsid w:val="00435A67"/>
    <w:rsid w:val="00435AF4"/>
    <w:rsid w:val="00436A4F"/>
    <w:rsid w:val="00437665"/>
    <w:rsid w:val="0043775D"/>
    <w:rsid w:val="004379E7"/>
    <w:rsid w:val="00437B90"/>
    <w:rsid w:val="00437EAB"/>
    <w:rsid w:val="00440BBE"/>
    <w:rsid w:val="00441A70"/>
    <w:rsid w:val="004431F8"/>
    <w:rsid w:val="004459DF"/>
    <w:rsid w:val="00446649"/>
    <w:rsid w:val="004467B5"/>
    <w:rsid w:val="00446B21"/>
    <w:rsid w:val="00446CA4"/>
    <w:rsid w:val="00446E63"/>
    <w:rsid w:val="00447151"/>
    <w:rsid w:val="00447F9E"/>
    <w:rsid w:val="00450AEF"/>
    <w:rsid w:val="00450D5C"/>
    <w:rsid w:val="004517D3"/>
    <w:rsid w:val="00451C86"/>
    <w:rsid w:val="00451DEC"/>
    <w:rsid w:val="00451F8F"/>
    <w:rsid w:val="00452572"/>
    <w:rsid w:val="004528C2"/>
    <w:rsid w:val="00453035"/>
    <w:rsid w:val="0045376F"/>
    <w:rsid w:val="00454686"/>
    <w:rsid w:val="00454A89"/>
    <w:rsid w:val="004554C4"/>
    <w:rsid w:val="004560C4"/>
    <w:rsid w:val="00456D40"/>
    <w:rsid w:val="00457BA2"/>
    <w:rsid w:val="004613F9"/>
    <w:rsid w:val="00461931"/>
    <w:rsid w:val="0046262A"/>
    <w:rsid w:val="00462770"/>
    <w:rsid w:val="004632BD"/>
    <w:rsid w:val="00463DF7"/>
    <w:rsid w:val="004640A5"/>
    <w:rsid w:val="00464116"/>
    <w:rsid w:val="00464EE9"/>
    <w:rsid w:val="004658A9"/>
    <w:rsid w:val="0046617F"/>
    <w:rsid w:val="0046638F"/>
    <w:rsid w:val="00467C7A"/>
    <w:rsid w:val="00467DD1"/>
    <w:rsid w:val="00470297"/>
    <w:rsid w:val="00470B1D"/>
    <w:rsid w:val="0047129D"/>
    <w:rsid w:val="00471A1E"/>
    <w:rsid w:val="004721B8"/>
    <w:rsid w:val="00472D2F"/>
    <w:rsid w:val="00473CB4"/>
    <w:rsid w:val="004745ED"/>
    <w:rsid w:val="004747B5"/>
    <w:rsid w:val="00474EA7"/>
    <w:rsid w:val="004750E1"/>
    <w:rsid w:val="00475240"/>
    <w:rsid w:val="00476357"/>
    <w:rsid w:val="00476E0C"/>
    <w:rsid w:val="00477162"/>
    <w:rsid w:val="004779F9"/>
    <w:rsid w:val="0048027F"/>
    <w:rsid w:val="0048168D"/>
    <w:rsid w:val="00482124"/>
    <w:rsid w:val="004821B3"/>
    <w:rsid w:val="00483183"/>
    <w:rsid w:val="0048322A"/>
    <w:rsid w:val="00484690"/>
    <w:rsid w:val="0048603C"/>
    <w:rsid w:val="00486829"/>
    <w:rsid w:val="0048695F"/>
    <w:rsid w:val="00487A47"/>
    <w:rsid w:val="00490BA2"/>
    <w:rsid w:val="00490F15"/>
    <w:rsid w:val="00491217"/>
    <w:rsid w:val="00491295"/>
    <w:rsid w:val="004931A2"/>
    <w:rsid w:val="004946C8"/>
    <w:rsid w:val="0049488A"/>
    <w:rsid w:val="00496EA3"/>
    <w:rsid w:val="004971EE"/>
    <w:rsid w:val="0049749C"/>
    <w:rsid w:val="00497CC6"/>
    <w:rsid w:val="00497CFD"/>
    <w:rsid w:val="004A0DE6"/>
    <w:rsid w:val="004A1608"/>
    <w:rsid w:val="004A1CB3"/>
    <w:rsid w:val="004A1DAE"/>
    <w:rsid w:val="004A295B"/>
    <w:rsid w:val="004A3966"/>
    <w:rsid w:val="004A3AF5"/>
    <w:rsid w:val="004A4132"/>
    <w:rsid w:val="004A42CB"/>
    <w:rsid w:val="004A50BF"/>
    <w:rsid w:val="004A587E"/>
    <w:rsid w:val="004A58DD"/>
    <w:rsid w:val="004A5AE9"/>
    <w:rsid w:val="004A67FC"/>
    <w:rsid w:val="004A7DD8"/>
    <w:rsid w:val="004B1A0A"/>
    <w:rsid w:val="004B34D4"/>
    <w:rsid w:val="004B3D47"/>
    <w:rsid w:val="004B5AB3"/>
    <w:rsid w:val="004B5BB2"/>
    <w:rsid w:val="004B5D42"/>
    <w:rsid w:val="004B5FE4"/>
    <w:rsid w:val="004B7CEA"/>
    <w:rsid w:val="004C13DD"/>
    <w:rsid w:val="004C1BB9"/>
    <w:rsid w:val="004C2043"/>
    <w:rsid w:val="004C2F46"/>
    <w:rsid w:val="004C326F"/>
    <w:rsid w:val="004C32A9"/>
    <w:rsid w:val="004C50EC"/>
    <w:rsid w:val="004C5426"/>
    <w:rsid w:val="004C5A5E"/>
    <w:rsid w:val="004C6F53"/>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AB4"/>
    <w:rsid w:val="004D68E8"/>
    <w:rsid w:val="004D693F"/>
    <w:rsid w:val="004D7413"/>
    <w:rsid w:val="004D7711"/>
    <w:rsid w:val="004E0D5C"/>
    <w:rsid w:val="004E0E1F"/>
    <w:rsid w:val="004E1070"/>
    <w:rsid w:val="004E240A"/>
    <w:rsid w:val="004E2795"/>
    <w:rsid w:val="004E2C54"/>
    <w:rsid w:val="004E3542"/>
    <w:rsid w:val="004E4EF5"/>
    <w:rsid w:val="004E62B0"/>
    <w:rsid w:val="004E78C4"/>
    <w:rsid w:val="004E7A05"/>
    <w:rsid w:val="004F02A0"/>
    <w:rsid w:val="004F0AA8"/>
    <w:rsid w:val="004F0D20"/>
    <w:rsid w:val="004F1158"/>
    <w:rsid w:val="004F1541"/>
    <w:rsid w:val="004F4368"/>
    <w:rsid w:val="004F47FE"/>
    <w:rsid w:val="004F4811"/>
    <w:rsid w:val="004F4F12"/>
    <w:rsid w:val="004F5489"/>
    <w:rsid w:val="004F647A"/>
    <w:rsid w:val="004F6517"/>
    <w:rsid w:val="004F65A0"/>
    <w:rsid w:val="004F674A"/>
    <w:rsid w:val="004F6C2F"/>
    <w:rsid w:val="004F7960"/>
    <w:rsid w:val="005005EA"/>
    <w:rsid w:val="005006EB"/>
    <w:rsid w:val="00500A40"/>
    <w:rsid w:val="00501625"/>
    <w:rsid w:val="0050174B"/>
    <w:rsid w:val="00501870"/>
    <w:rsid w:val="00501B3B"/>
    <w:rsid w:val="00502282"/>
    <w:rsid w:val="00502A60"/>
    <w:rsid w:val="00503617"/>
    <w:rsid w:val="005040B4"/>
    <w:rsid w:val="00505868"/>
    <w:rsid w:val="00505914"/>
    <w:rsid w:val="00505D2A"/>
    <w:rsid w:val="00505DDF"/>
    <w:rsid w:val="00506628"/>
    <w:rsid w:val="00506B01"/>
    <w:rsid w:val="00506E23"/>
    <w:rsid w:val="0050708E"/>
    <w:rsid w:val="00507383"/>
    <w:rsid w:val="00507F53"/>
    <w:rsid w:val="00510101"/>
    <w:rsid w:val="00510864"/>
    <w:rsid w:val="00510A5B"/>
    <w:rsid w:val="00510E72"/>
    <w:rsid w:val="005113E8"/>
    <w:rsid w:val="0051222D"/>
    <w:rsid w:val="005143F5"/>
    <w:rsid w:val="00514813"/>
    <w:rsid w:val="00514A56"/>
    <w:rsid w:val="00514E31"/>
    <w:rsid w:val="00514FF0"/>
    <w:rsid w:val="005150E4"/>
    <w:rsid w:val="00515332"/>
    <w:rsid w:val="00515D89"/>
    <w:rsid w:val="00515FB2"/>
    <w:rsid w:val="005161B7"/>
    <w:rsid w:val="00517C6C"/>
    <w:rsid w:val="005200B8"/>
    <w:rsid w:val="005210DD"/>
    <w:rsid w:val="00521AF2"/>
    <w:rsid w:val="00521C72"/>
    <w:rsid w:val="005226D3"/>
    <w:rsid w:val="00522946"/>
    <w:rsid w:val="00522D86"/>
    <w:rsid w:val="00522E09"/>
    <w:rsid w:val="005232D2"/>
    <w:rsid w:val="00523A1F"/>
    <w:rsid w:val="00524B77"/>
    <w:rsid w:val="00525022"/>
    <w:rsid w:val="00525325"/>
    <w:rsid w:val="00526418"/>
    <w:rsid w:val="0052650C"/>
    <w:rsid w:val="00526739"/>
    <w:rsid w:val="00527568"/>
    <w:rsid w:val="005277C2"/>
    <w:rsid w:val="005301AA"/>
    <w:rsid w:val="00530BF7"/>
    <w:rsid w:val="00532313"/>
    <w:rsid w:val="0053236D"/>
    <w:rsid w:val="005323AC"/>
    <w:rsid w:val="00532C7D"/>
    <w:rsid w:val="00533C8D"/>
    <w:rsid w:val="00534B64"/>
    <w:rsid w:val="00534E3C"/>
    <w:rsid w:val="00534F34"/>
    <w:rsid w:val="0053519E"/>
    <w:rsid w:val="00536882"/>
    <w:rsid w:val="00536D42"/>
    <w:rsid w:val="00536E93"/>
    <w:rsid w:val="005372B3"/>
    <w:rsid w:val="00537A08"/>
    <w:rsid w:val="00537D56"/>
    <w:rsid w:val="00540291"/>
    <w:rsid w:val="00540E4D"/>
    <w:rsid w:val="005418A0"/>
    <w:rsid w:val="00541BFA"/>
    <w:rsid w:val="00542944"/>
    <w:rsid w:val="00542EE6"/>
    <w:rsid w:val="005432D7"/>
    <w:rsid w:val="00543406"/>
    <w:rsid w:val="00543830"/>
    <w:rsid w:val="00543DEF"/>
    <w:rsid w:val="00543EE6"/>
    <w:rsid w:val="00544548"/>
    <w:rsid w:val="005466A9"/>
    <w:rsid w:val="00550893"/>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60491"/>
    <w:rsid w:val="0056054A"/>
    <w:rsid w:val="005613E0"/>
    <w:rsid w:val="0056160B"/>
    <w:rsid w:val="005620A4"/>
    <w:rsid w:val="00562DD3"/>
    <w:rsid w:val="005640EA"/>
    <w:rsid w:val="00564172"/>
    <w:rsid w:val="005641A6"/>
    <w:rsid w:val="00564F73"/>
    <w:rsid w:val="0056508F"/>
    <w:rsid w:val="00565402"/>
    <w:rsid w:val="0056581C"/>
    <w:rsid w:val="005660F6"/>
    <w:rsid w:val="00566314"/>
    <w:rsid w:val="005714A8"/>
    <w:rsid w:val="005716C1"/>
    <w:rsid w:val="00571FA0"/>
    <w:rsid w:val="00574DF7"/>
    <w:rsid w:val="00575CAD"/>
    <w:rsid w:val="005760B9"/>
    <w:rsid w:val="0057629D"/>
    <w:rsid w:val="005779AC"/>
    <w:rsid w:val="00577F81"/>
    <w:rsid w:val="00580DBC"/>
    <w:rsid w:val="00581AA7"/>
    <w:rsid w:val="00582A3E"/>
    <w:rsid w:val="00583327"/>
    <w:rsid w:val="00584240"/>
    <w:rsid w:val="00584A51"/>
    <w:rsid w:val="00584A9F"/>
    <w:rsid w:val="00585824"/>
    <w:rsid w:val="005862F7"/>
    <w:rsid w:val="00586304"/>
    <w:rsid w:val="005864A7"/>
    <w:rsid w:val="00586B8D"/>
    <w:rsid w:val="00587C36"/>
    <w:rsid w:val="005904C6"/>
    <w:rsid w:val="00590755"/>
    <w:rsid w:val="00590B0D"/>
    <w:rsid w:val="00591FC5"/>
    <w:rsid w:val="0059279E"/>
    <w:rsid w:val="00593957"/>
    <w:rsid w:val="00594F8B"/>
    <w:rsid w:val="00597F06"/>
    <w:rsid w:val="005A0BB2"/>
    <w:rsid w:val="005A2631"/>
    <w:rsid w:val="005A27D3"/>
    <w:rsid w:val="005A2987"/>
    <w:rsid w:val="005A2C85"/>
    <w:rsid w:val="005A2F26"/>
    <w:rsid w:val="005A50D2"/>
    <w:rsid w:val="005A50F4"/>
    <w:rsid w:val="005A57F7"/>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D08"/>
    <w:rsid w:val="005C4F28"/>
    <w:rsid w:val="005C64C9"/>
    <w:rsid w:val="005C6560"/>
    <w:rsid w:val="005C67AC"/>
    <w:rsid w:val="005C6BD8"/>
    <w:rsid w:val="005D0F72"/>
    <w:rsid w:val="005D103E"/>
    <w:rsid w:val="005D1BB0"/>
    <w:rsid w:val="005D3056"/>
    <w:rsid w:val="005D313D"/>
    <w:rsid w:val="005D4466"/>
    <w:rsid w:val="005D4C8A"/>
    <w:rsid w:val="005D5683"/>
    <w:rsid w:val="005D5859"/>
    <w:rsid w:val="005D601F"/>
    <w:rsid w:val="005D650E"/>
    <w:rsid w:val="005D7416"/>
    <w:rsid w:val="005D79A7"/>
    <w:rsid w:val="005E01B0"/>
    <w:rsid w:val="005E02EB"/>
    <w:rsid w:val="005E064C"/>
    <w:rsid w:val="005E14C8"/>
    <w:rsid w:val="005E1686"/>
    <w:rsid w:val="005E1A47"/>
    <w:rsid w:val="005E21EC"/>
    <w:rsid w:val="005E26C2"/>
    <w:rsid w:val="005E317F"/>
    <w:rsid w:val="005E3971"/>
    <w:rsid w:val="005E3EA6"/>
    <w:rsid w:val="005E4A2D"/>
    <w:rsid w:val="005E4B1B"/>
    <w:rsid w:val="005E4B4C"/>
    <w:rsid w:val="005E4D82"/>
    <w:rsid w:val="005E5059"/>
    <w:rsid w:val="005E58F3"/>
    <w:rsid w:val="005E592E"/>
    <w:rsid w:val="005E624E"/>
    <w:rsid w:val="005E6484"/>
    <w:rsid w:val="005E7D08"/>
    <w:rsid w:val="005F0A5D"/>
    <w:rsid w:val="005F3459"/>
    <w:rsid w:val="005F36E7"/>
    <w:rsid w:val="005F38B9"/>
    <w:rsid w:val="005F47CA"/>
    <w:rsid w:val="00600003"/>
    <w:rsid w:val="0060049E"/>
    <w:rsid w:val="006009ED"/>
    <w:rsid w:val="00601268"/>
    <w:rsid w:val="00601529"/>
    <w:rsid w:val="006018B2"/>
    <w:rsid w:val="00601902"/>
    <w:rsid w:val="0060228A"/>
    <w:rsid w:val="0060266A"/>
    <w:rsid w:val="00603597"/>
    <w:rsid w:val="006039E1"/>
    <w:rsid w:val="00603AAC"/>
    <w:rsid w:val="00603C67"/>
    <w:rsid w:val="00604146"/>
    <w:rsid w:val="0060438E"/>
    <w:rsid w:val="0060573F"/>
    <w:rsid w:val="00605904"/>
    <w:rsid w:val="0060627F"/>
    <w:rsid w:val="00606933"/>
    <w:rsid w:val="00607644"/>
    <w:rsid w:val="006079B3"/>
    <w:rsid w:val="00607E30"/>
    <w:rsid w:val="00610732"/>
    <w:rsid w:val="00610F18"/>
    <w:rsid w:val="006110A2"/>
    <w:rsid w:val="00611477"/>
    <w:rsid w:val="006117F6"/>
    <w:rsid w:val="00611C86"/>
    <w:rsid w:val="00611F5A"/>
    <w:rsid w:val="00612495"/>
    <w:rsid w:val="0061293B"/>
    <w:rsid w:val="00613331"/>
    <w:rsid w:val="006158E5"/>
    <w:rsid w:val="00615BF7"/>
    <w:rsid w:val="00617592"/>
    <w:rsid w:val="00617CB2"/>
    <w:rsid w:val="00620F85"/>
    <w:rsid w:val="006217BC"/>
    <w:rsid w:val="00621AE5"/>
    <w:rsid w:val="0062276E"/>
    <w:rsid w:val="00623551"/>
    <w:rsid w:val="00624DEC"/>
    <w:rsid w:val="0062618A"/>
    <w:rsid w:val="00627177"/>
    <w:rsid w:val="00627DB9"/>
    <w:rsid w:val="00631BFB"/>
    <w:rsid w:val="00632402"/>
    <w:rsid w:val="0063269D"/>
    <w:rsid w:val="00633F56"/>
    <w:rsid w:val="00634DCA"/>
    <w:rsid w:val="00635615"/>
    <w:rsid w:val="00635855"/>
    <w:rsid w:val="00635F8E"/>
    <w:rsid w:val="006410D5"/>
    <w:rsid w:val="00641262"/>
    <w:rsid w:val="006417D4"/>
    <w:rsid w:val="00641CC1"/>
    <w:rsid w:val="006425E8"/>
    <w:rsid w:val="0064309D"/>
    <w:rsid w:val="00643419"/>
    <w:rsid w:val="00643A89"/>
    <w:rsid w:val="00644253"/>
    <w:rsid w:val="00644402"/>
    <w:rsid w:val="00645C76"/>
    <w:rsid w:val="0064639F"/>
    <w:rsid w:val="00646DA1"/>
    <w:rsid w:val="00650EA4"/>
    <w:rsid w:val="00650F16"/>
    <w:rsid w:val="00651A42"/>
    <w:rsid w:val="00652B3C"/>
    <w:rsid w:val="00653581"/>
    <w:rsid w:val="006536B0"/>
    <w:rsid w:val="00654CBC"/>
    <w:rsid w:val="006554BB"/>
    <w:rsid w:val="00655EE7"/>
    <w:rsid w:val="006567CD"/>
    <w:rsid w:val="00657063"/>
    <w:rsid w:val="0066089E"/>
    <w:rsid w:val="00660B8E"/>
    <w:rsid w:val="00660C11"/>
    <w:rsid w:val="00660C4C"/>
    <w:rsid w:val="00661FA4"/>
    <w:rsid w:val="00662BB4"/>
    <w:rsid w:val="00662D71"/>
    <w:rsid w:val="00663BB1"/>
    <w:rsid w:val="00663BD7"/>
    <w:rsid w:val="0066428F"/>
    <w:rsid w:val="006642C1"/>
    <w:rsid w:val="0066486A"/>
    <w:rsid w:val="00664D9D"/>
    <w:rsid w:val="00665BFC"/>
    <w:rsid w:val="00666568"/>
    <w:rsid w:val="00666612"/>
    <w:rsid w:val="0066775B"/>
    <w:rsid w:val="00670048"/>
    <w:rsid w:val="006700AA"/>
    <w:rsid w:val="006703CC"/>
    <w:rsid w:val="00670613"/>
    <w:rsid w:val="00670F7B"/>
    <w:rsid w:val="006746E7"/>
    <w:rsid w:val="00676915"/>
    <w:rsid w:val="0067693E"/>
    <w:rsid w:val="00677335"/>
    <w:rsid w:val="00677BAF"/>
    <w:rsid w:val="006802B4"/>
    <w:rsid w:val="00680325"/>
    <w:rsid w:val="006803D9"/>
    <w:rsid w:val="00681CC9"/>
    <w:rsid w:val="00681FB9"/>
    <w:rsid w:val="0068214C"/>
    <w:rsid w:val="006822DF"/>
    <w:rsid w:val="00682B1D"/>
    <w:rsid w:val="00682B26"/>
    <w:rsid w:val="00684625"/>
    <w:rsid w:val="00685387"/>
    <w:rsid w:val="00686718"/>
    <w:rsid w:val="006878AC"/>
    <w:rsid w:val="00687ECF"/>
    <w:rsid w:val="006908A7"/>
    <w:rsid w:val="006910E5"/>
    <w:rsid w:val="00691D4B"/>
    <w:rsid w:val="00692431"/>
    <w:rsid w:val="00692680"/>
    <w:rsid w:val="006929A6"/>
    <w:rsid w:val="00692DAA"/>
    <w:rsid w:val="00693DD6"/>
    <w:rsid w:val="0069408F"/>
    <w:rsid w:val="006940C5"/>
    <w:rsid w:val="006942DE"/>
    <w:rsid w:val="00694A99"/>
    <w:rsid w:val="00695191"/>
    <w:rsid w:val="0069561F"/>
    <w:rsid w:val="0069573B"/>
    <w:rsid w:val="00696513"/>
    <w:rsid w:val="0069699F"/>
    <w:rsid w:val="00696C5E"/>
    <w:rsid w:val="006970BF"/>
    <w:rsid w:val="006A1625"/>
    <w:rsid w:val="006A1F0B"/>
    <w:rsid w:val="006A2C8A"/>
    <w:rsid w:val="006A3333"/>
    <w:rsid w:val="006A3490"/>
    <w:rsid w:val="006A3D5F"/>
    <w:rsid w:val="006A4109"/>
    <w:rsid w:val="006A4945"/>
    <w:rsid w:val="006A49C2"/>
    <w:rsid w:val="006A5452"/>
    <w:rsid w:val="006A5C13"/>
    <w:rsid w:val="006A5C60"/>
    <w:rsid w:val="006A5D71"/>
    <w:rsid w:val="006A636E"/>
    <w:rsid w:val="006A6EB8"/>
    <w:rsid w:val="006A7D67"/>
    <w:rsid w:val="006A7E73"/>
    <w:rsid w:val="006B0994"/>
    <w:rsid w:val="006B0C57"/>
    <w:rsid w:val="006B0D2E"/>
    <w:rsid w:val="006B28CC"/>
    <w:rsid w:val="006B40F3"/>
    <w:rsid w:val="006B4774"/>
    <w:rsid w:val="006B493B"/>
    <w:rsid w:val="006B5CEC"/>
    <w:rsid w:val="006B73A7"/>
    <w:rsid w:val="006B7580"/>
    <w:rsid w:val="006C047E"/>
    <w:rsid w:val="006C056A"/>
    <w:rsid w:val="006C0836"/>
    <w:rsid w:val="006C3F45"/>
    <w:rsid w:val="006C4779"/>
    <w:rsid w:val="006C4A9E"/>
    <w:rsid w:val="006C67AF"/>
    <w:rsid w:val="006C72C4"/>
    <w:rsid w:val="006C7365"/>
    <w:rsid w:val="006C75A6"/>
    <w:rsid w:val="006C79BD"/>
    <w:rsid w:val="006C7C70"/>
    <w:rsid w:val="006D0228"/>
    <w:rsid w:val="006D12C6"/>
    <w:rsid w:val="006D1553"/>
    <w:rsid w:val="006D1C6E"/>
    <w:rsid w:val="006D1D30"/>
    <w:rsid w:val="006D2A8E"/>
    <w:rsid w:val="006D2BC2"/>
    <w:rsid w:val="006D389E"/>
    <w:rsid w:val="006D5746"/>
    <w:rsid w:val="006D6647"/>
    <w:rsid w:val="006D6F16"/>
    <w:rsid w:val="006E00BF"/>
    <w:rsid w:val="006E05AD"/>
    <w:rsid w:val="006E07B4"/>
    <w:rsid w:val="006E225C"/>
    <w:rsid w:val="006E241D"/>
    <w:rsid w:val="006E2F33"/>
    <w:rsid w:val="006E31F4"/>
    <w:rsid w:val="006E3489"/>
    <w:rsid w:val="006E34B4"/>
    <w:rsid w:val="006E3BAF"/>
    <w:rsid w:val="006E4DC6"/>
    <w:rsid w:val="006E6C04"/>
    <w:rsid w:val="006E755C"/>
    <w:rsid w:val="006E7608"/>
    <w:rsid w:val="006F0850"/>
    <w:rsid w:val="006F08F4"/>
    <w:rsid w:val="006F1573"/>
    <w:rsid w:val="006F195A"/>
    <w:rsid w:val="006F1BB1"/>
    <w:rsid w:val="006F1D81"/>
    <w:rsid w:val="006F34CF"/>
    <w:rsid w:val="006F3AB4"/>
    <w:rsid w:val="006F3B85"/>
    <w:rsid w:val="006F40E2"/>
    <w:rsid w:val="006F430D"/>
    <w:rsid w:val="006F464A"/>
    <w:rsid w:val="006F46EE"/>
    <w:rsid w:val="006F5071"/>
    <w:rsid w:val="006F543C"/>
    <w:rsid w:val="006F5778"/>
    <w:rsid w:val="006F5F1E"/>
    <w:rsid w:val="006F5FAF"/>
    <w:rsid w:val="006F5FE3"/>
    <w:rsid w:val="006F63E8"/>
    <w:rsid w:val="006F77FF"/>
    <w:rsid w:val="006F7BAF"/>
    <w:rsid w:val="00700321"/>
    <w:rsid w:val="0070231B"/>
    <w:rsid w:val="0070231E"/>
    <w:rsid w:val="00702980"/>
    <w:rsid w:val="007037C7"/>
    <w:rsid w:val="00704480"/>
    <w:rsid w:val="0070609E"/>
    <w:rsid w:val="00707CB9"/>
    <w:rsid w:val="00707E16"/>
    <w:rsid w:val="00711163"/>
    <w:rsid w:val="00711241"/>
    <w:rsid w:val="00711CE0"/>
    <w:rsid w:val="0071220A"/>
    <w:rsid w:val="00713CC4"/>
    <w:rsid w:val="00713EA7"/>
    <w:rsid w:val="0071504D"/>
    <w:rsid w:val="00716030"/>
    <w:rsid w:val="007166AE"/>
    <w:rsid w:val="00717EAD"/>
    <w:rsid w:val="0072033C"/>
    <w:rsid w:val="00720E51"/>
    <w:rsid w:val="007219D4"/>
    <w:rsid w:val="00722E86"/>
    <w:rsid w:val="0072340F"/>
    <w:rsid w:val="007238E7"/>
    <w:rsid w:val="00723D1A"/>
    <w:rsid w:val="007241BA"/>
    <w:rsid w:val="00724526"/>
    <w:rsid w:val="00724576"/>
    <w:rsid w:val="007251F8"/>
    <w:rsid w:val="00726A5C"/>
    <w:rsid w:val="00727538"/>
    <w:rsid w:val="007303CA"/>
    <w:rsid w:val="00730C56"/>
    <w:rsid w:val="0073150D"/>
    <w:rsid w:val="007335FF"/>
    <w:rsid w:val="0073467F"/>
    <w:rsid w:val="00735561"/>
    <w:rsid w:val="00735647"/>
    <w:rsid w:val="00735B36"/>
    <w:rsid w:val="00737094"/>
    <w:rsid w:val="00737AF5"/>
    <w:rsid w:val="00737E80"/>
    <w:rsid w:val="00740E83"/>
    <w:rsid w:val="007415DB"/>
    <w:rsid w:val="00741CCE"/>
    <w:rsid w:val="00741D19"/>
    <w:rsid w:val="007433CD"/>
    <w:rsid w:val="00743AC6"/>
    <w:rsid w:val="00744E01"/>
    <w:rsid w:val="00744F43"/>
    <w:rsid w:val="007453C9"/>
    <w:rsid w:val="007469B3"/>
    <w:rsid w:val="007470C5"/>
    <w:rsid w:val="007470EE"/>
    <w:rsid w:val="00750503"/>
    <w:rsid w:val="007511F0"/>
    <w:rsid w:val="0075127A"/>
    <w:rsid w:val="00754459"/>
    <w:rsid w:val="0075476E"/>
    <w:rsid w:val="007549A5"/>
    <w:rsid w:val="0075507E"/>
    <w:rsid w:val="0075561C"/>
    <w:rsid w:val="007560BB"/>
    <w:rsid w:val="00756684"/>
    <w:rsid w:val="00756B80"/>
    <w:rsid w:val="00756D90"/>
    <w:rsid w:val="0076125A"/>
    <w:rsid w:val="007618F2"/>
    <w:rsid w:val="0076374B"/>
    <w:rsid w:val="00763A27"/>
    <w:rsid w:val="00763BC3"/>
    <w:rsid w:val="00764F28"/>
    <w:rsid w:val="00765913"/>
    <w:rsid w:val="0077030B"/>
    <w:rsid w:val="0077069C"/>
    <w:rsid w:val="00771150"/>
    <w:rsid w:val="00771577"/>
    <w:rsid w:val="00771A48"/>
    <w:rsid w:val="00772073"/>
    <w:rsid w:val="00772422"/>
    <w:rsid w:val="00774233"/>
    <w:rsid w:val="00775274"/>
    <w:rsid w:val="00776D14"/>
    <w:rsid w:val="0077708D"/>
    <w:rsid w:val="007800F9"/>
    <w:rsid w:val="00780346"/>
    <w:rsid w:val="00780E7D"/>
    <w:rsid w:val="00783C23"/>
    <w:rsid w:val="00783FD1"/>
    <w:rsid w:val="00783FE4"/>
    <w:rsid w:val="0078467F"/>
    <w:rsid w:val="00784CBA"/>
    <w:rsid w:val="007855E8"/>
    <w:rsid w:val="00785AC2"/>
    <w:rsid w:val="00785D63"/>
    <w:rsid w:val="00786BDD"/>
    <w:rsid w:val="007873B2"/>
    <w:rsid w:val="0079007A"/>
    <w:rsid w:val="00790261"/>
    <w:rsid w:val="0079044E"/>
    <w:rsid w:val="00790788"/>
    <w:rsid w:val="007908F0"/>
    <w:rsid w:val="00790CDA"/>
    <w:rsid w:val="0079182F"/>
    <w:rsid w:val="0079184A"/>
    <w:rsid w:val="00791AA5"/>
    <w:rsid w:val="00791C88"/>
    <w:rsid w:val="007921F7"/>
    <w:rsid w:val="007928DC"/>
    <w:rsid w:val="00792BC8"/>
    <w:rsid w:val="00793CB7"/>
    <w:rsid w:val="00794EF1"/>
    <w:rsid w:val="0079562A"/>
    <w:rsid w:val="00795F6B"/>
    <w:rsid w:val="00796411"/>
    <w:rsid w:val="00796641"/>
    <w:rsid w:val="00797B98"/>
    <w:rsid w:val="007A0746"/>
    <w:rsid w:val="007A0B1C"/>
    <w:rsid w:val="007A0CC6"/>
    <w:rsid w:val="007A2D25"/>
    <w:rsid w:val="007A49B1"/>
    <w:rsid w:val="007A5515"/>
    <w:rsid w:val="007A6C61"/>
    <w:rsid w:val="007A6F67"/>
    <w:rsid w:val="007A6FB1"/>
    <w:rsid w:val="007B083D"/>
    <w:rsid w:val="007B1ACE"/>
    <w:rsid w:val="007B258B"/>
    <w:rsid w:val="007B3BC5"/>
    <w:rsid w:val="007B3DF9"/>
    <w:rsid w:val="007B43E4"/>
    <w:rsid w:val="007B49F1"/>
    <w:rsid w:val="007B4C00"/>
    <w:rsid w:val="007B4F8F"/>
    <w:rsid w:val="007B51C9"/>
    <w:rsid w:val="007B56AD"/>
    <w:rsid w:val="007B5941"/>
    <w:rsid w:val="007B6235"/>
    <w:rsid w:val="007B707D"/>
    <w:rsid w:val="007C03F2"/>
    <w:rsid w:val="007C12E7"/>
    <w:rsid w:val="007C1457"/>
    <w:rsid w:val="007C2E97"/>
    <w:rsid w:val="007C3186"/>
    <w:rsid w:val="007C4718"/>
    <w:rsid w:val="007C51DB"/>
    <w:rsid w:val="007C53E1"/>
    <w:rsid w:val="007C5881"/>
    <w:rsid w:val="007C61A8"/>
    <w:rsid w:val="007C6436"/>
    <w:rsid w:val="007C6654"/>
    <w:rsid w:val="007C6BED"/>
    <w:rsid w:val="007D0A31"/>
    <w:rsid w:val="007D1355"/>
    <w:rsid w:val="007D165C"/>
    <w:rsid w:val="007D2276"/>
    <w:rsid w:val="007D2423"/>
    <w:rsid w:val="007D299F"/>
    <w:rsid w:val="007D3B42"/>
    <w:rsid w:val="007D478F"/>
    <w:rsid w:val="007D4800"/>
    <w:rsid w:val="007D5F7F"/>
    <w:rsid w:val="007D636F"/>
    <w:rsid w:val="007D660E"/>
    <w:rsid w:val="007D669E"/>
    <w:rsid w:val="007E0FA2"/>
    <w:rsid w:val="007E116F"/>
    <w:rsid w:val="007E179B"/>
    <w:rsid w:val="007E20C0"/>
    <w:rsid w:val="007E2D78"/>
    <w:rsid w:val="007E34BE"/>
    <w:rsid w:val="007E3E6D"/>
    <w:rsid w:val="007E3EF4"/>
    <w:rsid w:val="007E4BA1"/>
    <w:rsid w:val="007E4C9D"/>
    <w:rsid w:val="007E4CD4"/>
    <w:rsid w:val="007E5C1C"/>
    <w:rsid w:val="007E6484"/>
    <w:rsid w:val="007F1980"/>
    <w:rsid w:val="007F1CD0"/>
    <w:rsid w:val="007F2C80"/>
    <w:rsid w:val="007F2F42"/>
    <w:rsid w:val="007F36CF"/>
    <w:rsid w:val="007F3801"/>
    <w:rsid w:val="007F3EA5"/>
    <w:rsid w:val="007F3F6B"/>
    <w:rsid w:val="007F40A0"/>
    <w:rsid w:val="007F4B7E"/>
    <w:rsid w:val="007F500F"/>
    <w:rsid w:val="007F521C"/>
    <w:rsid w:val="007F5487"/>
    <w:rsid w:val="007F586B"/>
    <w:rsid w:val="007F5CF8"/>
    <w:rsid w:val="007F7579"/>
    <w:rsid w:val="007F78E4"/>
    <w:rsid w:val="008009B3"/>
    <w:rsid w:val="00801BD8"/>
    <w:rsid w:val="00802026"/>
    <w:rsid w:val="00802044"/>
    <w:rsid w:val="008025E6"/>
    <w:rsid w:val="00802BB4"/>
    <w:rsid w:val="00802EFA"/>
    <w:rsid w:val="00803A9B"/>
    <w:rsid w:val="0080412D"/>
    <w:rsid w:val="00804422"/>
    <w:rsid w:val="00804C6A"/>
    <w:rsid w:val="00804F5F"/>
    <w:rsid w:val="0080559B"/>
    <w:rsid w:val="0080578F"/>
    <w:rsid w:val="00805A41"/>
    <w:rsid w:val="00805B6C"/>
    <w:rsid w:val="00805F66"/>
    <w:rsid w:val="00806F35"/>
    <w:rsid w:val="00810718"/>
    <w:rsid w:val="00811831"/>
    <w:rsid w:val="0081187F"/>
    <w:rsid w:val="00811BAC"/>
    <w:rsid w:val="00811DDD"/>
    <w:rsid w:val="008122B4"/>
    <w:rsid w:val="00812D42"/>
    <w:rsid w:val="00813047"/>
    <w:rsid w:val="008141E8"/>
    <w:rsid w:val="00814576"/>
    <w:rsid w:val="00814F95"/>
    <w:rsid w:val="00817B67"/>
    <w:rsid w:val="00817BFE"/>
    <w:rsid w:val="00817D2E"/>
    <w:rsid w:val="00817FAF"/>
    <w:rsid w:val="008204D2"/>
    <w:rsid w:val="00820618"/>
    <w:rsid w:val="0082083B"/>
    <w:rsid w:val="0082087D"/>
    <w:rsid w:val="008210AE"/>
    <w:rsid w:val="008218EA"/>
    <w:rsid w:val="00821D81"/>
    <w:rsid w:val="00822E80"/>
    <w:rsid w:val="00823344"/>
    <w:rsid w:val="00823356"/>
    <w:rsid w:val="0082354F"/>
    <w:rsid w:val="00823C65"/>
    <w:rsid w:val="00823C79"/>
    <w:rsid w:val="00825756"/>
    <w:rsid w:val="00826659"/>
    <w:rsid w:val="008269C9"/>
    <w:rsid w:val="00827AA6"/>
    <w:rsid w:val="008303C8"/>
    <w:rsid w:val="00830709"/>
    <w:rsid w:val="00830DA8"/>
    <w:rsid w:val="008316FC"/>
    <w:rsid w:val="0083190C"/>
    <w:rsid w:val="008331A9"/>
    <w:rsid w:val="00833665"/>
    <w:rsid w:val="00834230"/>
    <w:rsid w:val="008355F5"/>
    <w:rsid w:val="00835C14"/>
    <w:rsid w:val="00835F84"/>
    <w:rsid w:val="0083721B"/>
    <w:rsid w:val="008373D3"/>
    <w:rsid w:val="008374CE"/>
    <w:rsid w:val="0083786F"/>
    <w:rsid w:val="0083799D"/>
    <w:rsid w:val="00837C7C"/>
    <w:rsid w:val="008403A5"/>
    <w:rsid w:val="008409B1"/>
    <w:rsid w:val="008420A1"/>
    <w:rsid w:val="0084284D"/>
    <w:rsid w:val="00843293"/>
    <w:rsid w:val="00843BC7"/>
    <w:rsid w:val="00844730"/>
    <w:rsid w:val="00844FEA"/>
    <w:rsid w:val="00845568"/>
    <w:rsid w:val="008455D2"/>
    <w:rsid w:val="0084584E"/>
    <w:rsid w:val="00845A1A"/>
    <w:rsid w:val="0084678E"/>
    <w:rsid w:val="00846B5E"/>
    <w:rsid w:val="00847798"/>
    <w:rsid w:val="00847FB1"/>
    <w:rsid w:val="008509B6"/>
    <w:rsid w:val="00850CA4"/>
    <w:rsid w:val="008511F4"/>
    <w:rsid w:val="00851F05"/>
    <w:rsid w:val="00852CA8"/>
    <w:rsid w:val="00853756"/>
    <w:rsid w:val="00853D79"/>
    <w:rsid w:val="00854CB6"/>
    <w:rsid w:val="00854E4E"/>
    <w:rsid w:val="00855519"/>
    <w:rsid w:val="0085577F"/>
    <w:rsid w:val="00855BCC"/>
    <w:rsid w:val="00856212"/>
    <w:rsid w:val="0085757A"/>
    <w:rsid w:val="00860BCD"/>
    <w:rsid w:val="00861F3B"/>
    <w:rsid w:val="00862123"/>
    <w:rsid w:val="00862BCC"/>
    <w:rsid w:val="00863A56"/>
    <w:rsid w:val="00863ABF"/>
    <w:rsid w:val="00864B0D"/>
    <w:rsid w:val="00864B85"/>
    <w:rsid w:val="00865499"/>
    <w:rsid w:val="008661E3"/>
    <w:rsid w:val="00866439"/>
    <w:rsid w:val="00866A44"/>
    <w:rsid w:val="008670B0"/>
    <w:rsid w:val="00867A7C"/>
    <w:rsid w:val="0087354E"/>
    <w:rsid w:val="008735D5"/>
    <w:rsid w:val="00873726"/>
    <w:rsid w:val="00874586"/>
    <w:rsid w:val="00874706"/>
    <w:rsid w:val="00874D4B"/>
    <w:rsid w:val="008752AC"/>
    <w:rsid w:val="008756BE"/>
    <w:rsid w:val="00875F4F"/>
    <w:rsid w:val="00876E56"/>
    <w:rsid w:val="008804A7"/>
    <w:rsid w:val="008819EA"/>
    <w:rsid w:val="00884693"/>
    <w:rsid w:val="00885FA5"/>
    <w:rsid w:val="008869B2"/>
    <w:rsid w:val="00886D05"/>
    <w:rsid w:val="008879E0"/>
    <w:rsid w:val="00890C34"/>
    <w:rsid w:val="008911AE"/>
    <w:rsid w:val="008912FB"/>
    <w:rsid w:val="00891FD5"/>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833"/>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B7D9E"/>
    <w:rsid w:val="008C358D"/>
    <w:rsid w:val="008C45D7"/>
    <w:rsid w:val="008C478C"/>
    <w:rsid w:val="008C571B"/>
    <w:rsid w:val="008C5990"/>
    <w:rsid w:val="008C644B"/>
    <w:rsid w:val="008C6705"/>
    <w:rsid w:val="008D0015"/>
    <w:rsid w:val="008D0BC2"/>
    <w:rsid w:val="008D161A"/>
    <w:rsid w:val="008D2923"/>
    <w:rsid w:val="008D3149"/>
    <w:rsid w:val="008D35FB"/>
    <w:rsid w:val="008D3DF5"/>
    <w:rsid w:val="008D4C09"/>
    <w:rsid w:val="008D5B54"/>
    <w:rsid w:val="008D634F"/>
    <w:rsid w:val="008D67EF"/>
    <w:rsid w:val="008D72EE"/>
    <w:rsid w:val="008D7362"/>
    <w:rsid w:val="008D7C30"/>
    <w:rsid w:val="008E036D"/>
    <w:rsid w:val="008E098C"/>
    <w:rsid w:val="008E0B86"/>
    <w:rsid w:val="008E1A12"/>
    <w:rsid w:val="008E1B8C"/>
    <w:rsid w:val="008E1B9D"/>
    <w:rsid w:val="008E23F1"/>
    <w:rsid w:val="008E25B7"/>
    <w:rsid w:val="008E2C77"/>
    <w:rsid w:val="008E4923"/>
    <w:rsid w:val="008E49B4"/>
    <w:rsid w:val="008E524C"/>
    <w:rsid w:val="008E6FCA"/>
    <w:rsid w:val="008F0961"/>
    <w:rsid w:val="008F09C6"/>
    <w:rsid w:val="008F37C2"/>
    <w:rsid w:val="008F383D"/>
    <w:rsid w:val="008F6FA8"/>
    <w:rsid w:val="008F76D7"/>
    <w:rsid w:val="0090007A"/>
    <w:rsid w:val="00900FEE"/>
    <w:rsid w:val="00901020"/>
    <w:rsid w:val="00902B48"/>
    <w:rsid w:val="009049D9"/>
    <w:rsid w:val="009050FF"/>
    <w:rsid w:val="009054AD"/>
    <w:rsid w:val="00905797"/>
    <w:rsid w:val="00906D3C"/>
    <w:rsid w:val="009071A2"/>
    <w:rsid w:val="009078E5"/>
    <w:rsid w:val="00907950"/>
    <w:rsid w:val="00907A3F"/>
    <w:rsid w:val="00907F4A"/>
    <w:rsid w:val="00910657"/>
    <w:rsid w:val="00911782"/>
    <w:rsid w:val="00911BA4"/>
    <w:rsid w:val="009124B0"/>
    <w:rsid w:val="0091313B"/>
    <w:rsid w:val="0091328E"/>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CDF"/>
    <w:rsid w:val="00923090"/>
    <w:rsid w:val="00923CCF"/>
    <w:rsid w:val="0092521D"/>
    <w:rsid w:val="0092531F"/>
    <w:rsid w:val="00925EE5"/>
    <w:rsid w:val="009263F3"/>
    <w:rsid w:val="00926B34"/>
    <w:rsid w:val="00926EAB"/>
    <w:rsid w:val="00926F59"/>
    <w:rsid w:val="00927777"/>
    <w:rsid w:val="009278C1"/>
    <w:rsid w:val="00927C4B"/>
    <w:rsid w:val="00930021"/>
    <w:rsid w:val="009302EF"/>
    <w:rsid w:val="009308E2"/>
    <w:rsid w:val="009317BE"/>
    <w:rsid w:val="00932477"/>
    <w:rsid w:val="00933127"/>
    <w:rsid w:val="00933E2E"/>
    <w:rsid w:val="00935916"/>
    <w:rsid w:val="00935921"/>
    <w:rsid w:val="00936240"/>
    <w:rsid w:val="0093627D"/>
    <w:rsid w:val="00936BDF"/>
    <w:rsid w:val="00937DA6"/>
    <w:rsid w:val="009405C8"/>
    <w:rsid w:val="00941256"/>
    <w:rsid w:val="00942281"/>
    <w:rsid w:val="00942632"/>
    <w:rsid w:val="009434AE"/>
    <w:rsid w:val="00944D7C"/>
    <w:rsid w:val="00946329"/>
    <w:rsid w:val="009469A5"/>
    <w:rsid w:val="00946A4E"/>
    <w:rsid w:val="00946E2B"/>
    <w:rsid w:val="00946F8B"/>
    <w:rsid w:val="00947DB8"/>
    <w:rsid w:val="00950CEF"/>
    <w:rsid w:val="00950D78"/>
    <w:rsid w:val="009515A4"/>
    <w:rsid w:val="009527A4"/>
    <w:rsid w:val="0095317E"/>
    <w:rsid w:val="00954117"/>
    <w:rsid w:val="00954B8C"/>
    <w:rsid w:val="00954E35"/>
    <w:rsid w:val="00955356"/>
    <w:rsid w:val="00955559"/>
    <w:rsid w:val="009555A5"/>
    <w:rsid w:val="00955969"/>
    <w:rsid w:val="00955A99"/>
    <w:rsid w:val="00955B93"/>
    <w:rsid w:val="0095645B"/>
    <w:rsid w:val="0095736D"/>
    <w:rsid w:val="009578AD"/>
    <w:rsid w:val="00957A07"/>
    <w:rsid w:val="009604AD"/>
    <w:rsid w:val="00961F91"/>
    <w:rsid w:val="00962D64"/>
    <w:rsid w:val="0096360E"/>
    <w:rsid w:val="00963B35"/>
    <w:rsid w:val="00963E62"/>
    <w:rsid w:val="009657E8"/>
    <w:rsid w:val="00965D1A"/>
    <w:rsid w:val="00965DB2"/>
    <w:rsid w:val="009673D7"/>
    <w:rsid w:val="00967A6C"/>
    <w:rsid w:val="00970D82"/>
    <w:rsid w:val="00971030"/>
    <w:rsid w:val="00971CF5"/>
    <w:rsid w:val="0097259F"/>
    <w:rsid w:val="00972BB4"/>
    <w:rsid w:val="009730C7"/>
    <w:rsid w:val="0097313E"/>
    <w:rsid w:val="00973D89"/>
    <w:rsid w:val="0097462A"/>
    <w:rsid w:val="009748F1"/>
    <w:rsid w:val="0097533D"/>
    <w:rsid w:val="00975624"/>
    <w:rsid w:val="009760E6"/>
    <w:rsid w:val="0097643B"/>
    <w:rsid w:val="009776A5"/>
    <w:rsid w:val="0097779D"/>
    <w:rsid w:val="00977BA8"/>
    <w:rsid w:val="00977F70"/>
    <w:rsid w:val="00981CA3"/>
    <w:rsid w:val="00981E6C"/>
    <w:rsid w:val="00982507"/>
    <w:rsid w:val="00982519"/>
    <w:rsid w:val="00982B57"/>
    <w:rsid w:val="00982B95"/>
    <w:rsid w:val="00983783"/>
    <w:rsid w:val="00984A4C"/>
    <w:rsid w:val="00985681"/>
    <w:rsid w:val="009856B6"/>
    <w:rsid w:val="009856F1"/>
    <w:rsid w:val="00985A3A"/>
    <w:rsid w:val="00985D61"/>
    <w:rsid w:val="00986A54"/>
    <w:rsid w:val="00986D2F"/>
    <w:rsid w:val="00986FDF"/>
    <w:rsid w:val="00987089"/>
    <w:rsid w:val="00987095"/>
    <w:rsid w:val="009870BD"/>
    <w:rsid w:val="009875D0"/>
    <w:rsid w:val="0099012D"/>
    <w:rsid w:val="00990168"/>
    <w:rsid w:val="0099088F"/>
    <w:rsid w:val="0099109B"/>
    <w:rsid w:val="00991976"/>
    <w:rsid w:val="00992948"/>
    <w:rsid w:val="00992E52"/>
    <w:rsid w:val="00993266"/>
    <w:rsid w:val="009937BE"/>
    <w:rsid w:val="00993C17"/>
    <w:rsid w:val="009943D0"/>
    <w:rsid w:val="00994CB0"/>
    <w:rsid w:val="009958CC"/>
    <w:rsid w:val="009971BB"/>
    <w:rsid w:val="00997900"/>
    <w:rsid w:val="00997F6F"/>
    <w:rsid w:val="009A003B"/>
    <w:rsid w:val="009A01D8"/>
    <w:rsid w:val="009A0C20"/>
    <w:rsid w:val="009A0CE4"/>
    <w:rsid w:val="009A0E0B"/>
    <w:rsid w:val="009A263F"/>
    <w:rsid w:val="009A286A"/>
    <w:rsid w:val="009A2926"/>
    <w:rsid w:val="009A3057"/>
    <w:rsid w:val="009A3490"/>
    <w:rsid w:val="009A3555"/>
    <w:rsid w:val="009A3659"/>
    <w:rsid w:val="009A4CDF"/>
    <w:rsid w:val="009A5561"/>
    <w:rsid w:val="009A5968"/>
    <w:rsid w:val="009A5AC7"/>
    <w:rsid w:val="009A748D"/>
    <w:rsid w:val="009A7888"/>
    <w:rsid w:val="009A7DE9"/>
    <w:rsid w:val="009B000F"/>
    <w:rsid w:val="009B0566"/>
    <w:rsid w:val="009B1B5B"/>
    <w:rsid w:val="009B25A9"/>
    <w:rsid w:val="009B2615"/>
    <w:rsid w:val="009B340E"/>
    <w:rsid w:val="009B3893"/>
    <w:rsid w:val="009B3920"/>
    <w:rsid w:val="009B42A3"/>
    <w:rsid w:val="009B4367"/>
    <w:rsid w:val="009B5070"/>
    <w:rsid w:val="009B52AD"/>
    <w:rsid w:val="009B5C31"/>
    <w:rsid w:val="009B62E5"/>
    <w:rsid w:val="009B664D"/>
    <w:rsid w:val="009B6A0D"/>
    <w:rsid w:val="009B783C"/>
    <w:rsid w:val="009C075D"/>
    <w:rsid w:val="009C0F4C"/>
    <w:rsid w:val="009C14F2"/>
    <w:rsid w:val="009C18A4"/>
    <w:rsid w:val="009C18F0"/>
    <w:rsid w:val="009C4376"/>
    <w:rsid w:val="009C4572"/>
    <w:rsid w:val="009C7209"/>
    <w:rsid w:val="009C7D87"/>
    <w:rsid w:val="009D0568"/>
    <w:rsid w:val="009D09DA"/>
    <w:rsid w:val="009D1988"/>
    <w:rsid w:val="009D1CBA"/>
    <w:rsid w:val="009D1F41"/>
    <w:rsid w:val="009D200B"/>
    <w:rsid w:val="009D28BE"/>
    <w:rsid w:val="009D323F"/>
    <w:rsid w:val="009D3C0F"/>
    <w:rsid w:val="009D46A4"/>
    <w:rsid w:val="009D4FFA"/>
    <w:rsid w:val="009D504B"/>
    <w:rsid w:val="009D64E8"/>
    <w:rsid w:val="009D77F6"/>
    <w:rsid w:val="009D79B8"/>
    <w:rsid w:val="009D7BDE"/>
    <w:rsid w:val="009E00FC"/>
    <w:rsid w:val="009E0D82"/>
    <w:rsid w:val="009E0F41"/>
    <w:rsid w:val="009E250C"/>
    <w:rsid w:val="009E2F63"/>
    <w:rsid w:val="009E349E"/>
    <w:rsid w:val="009E353C"/>
    <w:rsid w:val="009E37C4"/>
    <w:rsid w:val="009E3F2D"/>
    <w:rsid w:val="009E4215"/>
    <w:rsid w:val="009E45A1"/>
    <w:rsid w:val="009E5596"/>
    <w:rsid w:val="009E5B0A"/>
    <w:rsid w:val="009E6216"/>
    <w:rsid w:val="009E69B8"/>
    <w:rsid w:val="009E718E"/>
    <w:rsid w:val="009F0755"/>
    <w:rsid w:val="009F0FEB"/>
    <w:rsid w:val="009F1466"/>
    <w:rsid w:val="009F1753"/>
    <w:rsid w:val="009F1BDE"/>
    <w:rsid w:val="009F3C4A"/>
    <w:rsid w:val="009F3D4B"/>
    <w:rsid w:val="009F4DE7"/>
    <w:rsid w:val="009F5242"/>
    <w:rsid w:val="009F5262"/>
    <w:rsid w:val="009F62C6"/>
    <w:rsid w:val="009F65C3"/>
    <w:rsid w:val="009F68B9"/>
    <w:rsid w:val="00A00091"/>
    <w:rsid w:val="00A005CC"/>
    <w:rsid w:val="00A020C0"/>
    <w:rsid w:val="00A039D1"/>
    <w:rsid w:val="00A10EB3"/>
    <w:rsid w:val="00A11ADB"/>
    <w:rsid w:val="00A12113"/>
    <w:rsid w:val="00A12322"/>
    <w:rsid w:val="00A135D6"/>
    <w:rsid w:val="00A1399F"/>
    <w:rsid w:val="00A14375"/>
    <w:rsid w:val="00A1487C"/>
    <w:rsid w:val="00A158FC"/>
    <w:rsid w:val="00A15A98"/>
    <w:rsid w:val="00A15AC6"/>
    <w:rsid w:val="00A16CB6"/>
    <w:rsid w:val="00A20CCE"/>
    <w:rsid w:val="00A20E48"/>
    <w:rsid w:val="00A21B5E"/>
    <w:rsid w:val="00A228F9"/>
    <w:rsid w:val="00A23CAB"/>
    <w:rsid w:val="00A24532"/>
    <w:rsid w:val="00A2560D"/>
    <w:rsid w:val="00A26621"/>
    <w:rsid w:val="00A2702C"/>
    <w:rsid w:val="00A27CFC"/>
    <w:rsid w:val="00A30D49"/>
    <w:rsid w:val="00A3155E"/>
    <w:rsid w:val="00A320D1"/>
    <w:rsid w:val="00A3302E"/>
    <w:rsid w:val="00A332E3"/>
    <w:rsid w:val="00A342D0"/>
    <w:rsid w:val="00A348CB"/>
    <w:rsid w:val="00A34C62"/>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60D5"/>
    <w:rsid w:val="00A46146"/>
    <w:rsid w:val="00A464C6"/>
    <w:rsid w:val="00A465C6"/>
    <w:rsid w:val="00A4784D"/>
    <w:rsid w:val="00A47F09"/>
    <w:rsid w:val="00A5026B"/>
    <w:rsid w:val="00A51F43"/>
    <w:rsid w:val="00A521D8"/>
    <w:rsid w:val="00A5251B"/>
    <w:rsid w:val="00A53348"/>
    <w:rsid w:val="00A53C14"/>
    <w:rsid w:val="00A53E31"/>
    <w:rsid w:val="00A5467F"/>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ABF"/>
    <w:rsid w:val="00A61186"/>
    <w:rsid w:val="00A61427"/>
    <w:rsid w:val="00A6159F"/>
    <w:rsid w:val="00A619B3"/>
    <w:rsid w:val="00A620C1"/>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207F"/>
    <w:rsid w:val="00A7234E"/>
    <w:rsid w:val="00A726EA"/>
    <w:rsid w:val="00A727A0"/>
    <w:rsid w:val="00A731CC"/>
    <w:rsid w:val="00A7346D"/>
    <w:rsid w:val="00A73EC5"/>
    <w:rsid w:val="00A741F7"/>
    <w:rsid w:val="00A75859"/>
    <w:rsid w:val="00A76CF6"/>
    <w:rsid w:val="00A76FE3"/>
    <w:rsid w:val="00A804BD"/>
    <w:rsid w:val="00A80CD8"/>
    <w:rsid w:val="00A81500"/>
    <w:rsid w:val="00A82F8D"/>
    <w:rsid w:val="00A83B4E"/>
    <w:rsid w:val="00A841D6"/>
    <w:rsid w:val="00A855E0"/>
    <w:rsid w:val="00A8572F"/>
    <w:rsid w:val="00A85CAC"/>
    <w:rsid w:val="00A864DB"/>
    <w:rsid w:val="00A875CD"/>
    <w:rsid w:val="00A87989"/>
    <w:rsid w:val="00A879BA"/>
    <w:rsid w:val="00A9048E"/>
    <w:rsid w:val="00A90791"/>
    <w:rsid w:val="00A91DDF"/>
    <w:rsid w:val="00A91FB0"/>
    <w:rsid w:val="00A92689"/>
    <w:rsid w:val="00A92A33"/>
    <w:rsid w:val="00A92A67"/>
    <w:rsid w:val="00A92EF7"/>
    <w:rsid w:val="00A937DE"/>
    <w:rsid w:val="00A93CD2"/>
    <w:rsid w:val="00A94943"/>
    <w:rsid w:val="00A94C6B"/>
    <w:rsid w:val="00A9508E"/>
    <w:rsid w:val="00A954B3"/>
    <w:rsid w:val="00A95C3C"/>
    <w:rsid w:val="00A96285"/>
    <w:rsid w:val="00A97A81"/>
    <w:rsid w:val="00A97DAB"/>
    <w:rsid w:val="00AA0043"/>
    <w:rsid w:val="00AA0390"/>
    <w:rsid w:val="00AA078D"/>
    <w:rsid w:val="00AA0811"/>
    <w:rsid w:val="00AA14A9"/>
    <w:rsid w:val="00AA15CC"/>
    <w:rsid w:val="00AA232B"/>
    <w:rsid w:val="00AA25C3"/>
    <w:rsid w:val="00AA347F"/>
    <w:rsid w:val="00AA351F"/>
    <w:rsid w:val="00AA42EB"/>
    <w:rsid w:val="00AA45E5"/>
    <w:rsid w:val="00AA4822"/>
    <w:rsid w:val="00AA50DB"/>
    <w:rsid w:val="00AA5152"/>
    <w:rsid w:val="00AA55AA"/>
    <w:rsid w:val="00AA5AA4"/>
    <w:rsid w:val="00AA5E7B"/>
    <w:rsid w:val="00AA6316"/>
    <w:rsid w:val="00AA72E1"/>
    <w:rsid w:val="00AA7AE1"/>
    <w:rsid w:val="00AA7B13"/>
    <w:rsid w:val="00AB023E"/>
    <w:rsid w:val="00AB056C"/>
    <w:rsid w:val="00AB12C2"/>
    <w:rsid w:val="00AB1A0A"/>
    <w:rsid w:val="00AB20D2"/>
    <w:rsid w:val="00AB3591"/>
    <w:rsid w:val="00AB3639"/>
    <w:rsid w:val="00AB42BA"/>
    <w:rsid w:val="00AB47C1"/>
    <w:rsid w:val="00AB4CCF"/>
    <w:rsid w:val="00AB5218"/>
    <w:rsid w:val="00AB59C2"/>
    <w:rsid w:val="00AB5BB9"/>
    <w:rsid w:val="00AB5C0B"/>
    <w:rsid w:val="00AC0C95"/>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4724"/>
    <w:rsid w:val="00AD5317"/>
    <w:rsid w:val="00AD5348"/>
    <w:rsid w:val="00AD68FD"/>
    <w:rsid w:val="00AD6ADB"/>
    <w:rsid w:val="00AD7D4C"/>
    <w:rsid w:val="00AE0286"/>
    <w:rsid w:val="00AE1559"/>
    <w:rsid w:val="00AE193C"/>
    <w:rsid w:val="00AE1F26"/>
    <w:rsid w:val="00AE2318"/>
    <w:rsid w:val="00AE3728"/>
    <w:rsid w:val="00AE380A"/>
    <w:rsid w:val="00AE3B88"/>
    <w:rsid w:val="00AE3D88"/>
    <w:rsid w:val="00AE57C9"/>
    <w:rsid w:val="00AE64AA"/>
    <w:rsid w:val="00AE64EE"/>
    <w:rsid w:val="00AE6A26"/>
    <w:rsid w:val="00AE7723"/>
    <w:rsid w:val="00AF01AF"/>
    <w:rsid w:val="00AF04CC"/>
    <w:rsid w:val="00AF10A9"/>
    <w:rsid w:val="00AF1BB3"/>
    <w:rsid w:val="00AF1EE4"/>
    <w:rsid w:val="00AF21A2"/>
    <w:rsid w:val="00AF24C3"/>
    <w:rsid w:val="00AF27BD"/>
    <w:rsid w:val="00AF3125"/>
    <w:rsid w:val="00AF322D"/>
    <w:rsid w:val="00AF3C71"/>
    <w:rsid w:val="00AF4197"/>
    <w:rsid w:val="00AF42E3"/>
    <w:rsid w:val="00AF539E"/>
    <w:rsid w:val="00AF56BE"/>
    <w:rsid w:val="00AF59A6"/>
    <w:rsid w:val="00AF69E2"/>
    <w:rsid w:val="00AF6B31"/>
    <w:rsid w:val="00AF76DF"/>
    <w:rsid w:val="00AF76E5"/>
    <w:rsid w:val="00AF7F5D"/>
    <w:rsid w:val="00B001AF"/>
    <w:rsid w:val="00B008F1"/>
    <w:rsid w:val="00B00DC2"/>
    <w:rsid w:val="00B01599"/>
    <w:rsid w:val="00B0229B"/>
    <w:rsid w:val="00B024A2"/>
    <w:rsid w:val="00B04388"/>
    <w:rsid w:val="00B043CA"/>
    <w:rsid w:val="00B05F1B"/>
    <w:rsid w:val="00B05FB8"/>
    <w:rsid w:val="00B07025"/>
    <w:rsid w:val="00B1038E"/>
    <w:rsid w:val="00B10C14"/>
    <w:rsid w:val="00B11420"/>
    <w:rsid w:val="00B1149F"/>
    <w:rsid w:val="00B11AFE"/>
    <w:rsid w:val="00B11B94"/>
    <w:rsid w:val="00B12D07"/>
    <w:rsid w:val="00B13405"/>
    <w:rsid w:val="00B13B50"/>
    <w:rsid w:val="00B13F30"/>
    <w:rsid w:val="00B147F7"/>
    <w:rsid w:val="00B14946"/>
    <w:rsid w:val="00B14D6E"/>
    <w:rsid w:val="00B14FE8"/>
    <w:rsid w:val="00B154A5"/>
    <w:rsid w:val="00B15521"/>
    <w:rsid w:val="00B1558C"/>
    <w:rsid w:val="00B15EF1"/>
    <w:rsid w:val="00B160DD"/>
    <w:rsid w:val="00B1635B"/>
    <w:rsid w:val="00B163F3"/>
    <w:rsid w:val="00B16E64"/>
    <w:rsid w:val="00B202F6"/>
    <w:rsid w:val="00B2070A"/>
    <w:rsid w:val="00B210F5"/>
    <w:rsid w:val="00B21282"/>
    <w:rsid w:val="00B21A83"/>
    <w:rsid w:val="00B21DCC"/>
    <w:rsid w:val="00B220B2"/>
    <w:rsid w:val="00B22400"/>
    <w:rsid w:val="00B22699"/>
    <w:rsid w:val="00B22FC5"/>
    <w:rsid w:val="00B23516"/>
    <w:rsid w:val="00B239B9"/>
    <w:rsid w:val="00B243A0"/>
    <w:rsid w:val="00B24760"/>
    <w:rsid w:val="00B24B1B"/>
    <w:rsid w:val="00B25CE4"/>
    <w:rsid w:val="00B26257"/>
    <w:rsid w:val="00B265F9"/>
    <w:rsid w:val="00B26924"/>
    <w:rsid w:val="00B26AD6"/>
    <w:rsid w:val="00B26C26"/>
    <w:rsid w:val="00B2708F"/>
    <w:rsid w:val="00B27583"/>
    <w:rsid w:val="00B27937"/>
    <w:rsid w:val="00B279B7"/>
    <w:rsid w:val="00B27A77"/>
    <w:rsid w:val="00B27D06"/>
    <w:rsid w:val="00B304E9"/>
    <w:rsid w:val="00B31361"/>
    <w:rsid w:val="00B31545"/>
    <w:rsid w:val="00B31B0A"/>
    <w:rsid w:val="00B3202B"/>
    <w:rsid w:val="00B327DE"/>
    <w:rsid w:val="00B32BB0"/>
    <w:rsid w:val="00B33247"/>
    <w:rsid w:val="00B33FCC"/>
    <w:rsid w:val="00B34BAF"/>
    <w:rsid w:val="00B3572C"/>
    <w:rsid w:val="00B35741"/>
    <w:rsid w:val="00B35BED"/>
    <w:rsid w:val="00B35D79"/>
    <w:rsid w:val="00B35FBD"/>
    <w:rsid w:val="00B360F1"/>
    <w:rsid w:val="00B36238"/>
    <w:rsid w:val="00B3655A"/>
    <w:rsid w:val="00B36732"/>
    <w:rsid w:val="00B3674D"/>
    <w:rsid w:val="00B367F6"/>
    <w:rsid w:val="00B369BE"/>
    <w:rsid w:val="00B3724B"/>
    <w:rsid w:val="00B401AB"/>
    <w:rsid w:val="00B40925"/>
    <w:rsid w:val="00B42367"/>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2218"/>
    <w:rsid w:val="00B52380"/>
    <w:rsid w:val="00B54690"/>
    <w:rsid w:val="00B548DC"/>
    <w:rsid w:val="00B55098"/>
    <w:rsid w:val="00B55BFA"/>
    <w:rsid w:val="00B56274"/>
    <w:rsid w:val="00B56DEE"/>
    <w:rsid w:val="00B570EB"/>
    <w:rsid w:val="00B57430"/>
    <w:rsid w:val="00B577BC"/>
    <w:rsid w:val="00B603B5"/>
    <w:rsid w:val="00B603D6"/>
    <w:rsid w:val="00B60FF6"/>
    <w:rsid w:val="00B6183C"/>
    <w:rsid w:val="00B61A0B"/>
    <w:rsid w:val="00B62417"/>
    <w:rsid w:val="00B629DA"/>
    <w:rsid w:val="00B62A00"/>
    <w:rsid w:val="00B654C4"/>
    <w:rsid w:val="00B6581C"/>
    <w:rsid w:val="00B659E2"/>
    <w:rsid w:val="00B65F75"/>
    <w:rsid w:val="00B66AF5"/>
    <w:rsid w:val="00B70B85"/>
    <w:rsid w:val="00B70FA0"/>
    <w:rsid w:val="00B72CA7"/>
    <w:rsid w:val="00B737A8"/>
    <w:rsid w:val="00B73B1F"/>
    <w:rsid w:val="00B73DC4"/>
    <w:rsid w:val="00B73FAF"/>
    <w:rsid w:val="00B75294"/>
    <w:rsid w:val="00B76793"/>
    <w:rsid w:val="00B76ED8"/>
    <w:rsid w:val="00B77C88"/>
    <w:rsid w:val="00B81B38"/>
    <w:rsid w:val="00B837C8"/>
    <w:rsid w:val="00B8407F"/>
    <w:rsid w:val="00B84401"/>
    <w:rsid w:val="00B847ED"/>
    <w:rsid w:val="00B85514"/>
    <w:rsid w:val="00B8592A"/>
    <w:rsid w:val="00B85CBC"/>
    <w:rsid w:val="00B862D8"/>
    <w:rsid w:val="00B873D5"/>
    <w:rsid w:val="00B87AED"/>
    <w:rsid w:val="00B9038C"/>
    <w:rsid w:val="00B915E1"/>
    <w:rsid w:val="00B933AD"/>
    <w:rsid w:val="00B93C3A"/>
    <w:rsid w:val="00B941C4"/>
    <w:rsid w:val="00B961E3"/>
    <w:rsid w:val="00B97636"/>
    <w:rsid w:val="00B976D0"/>
    <w:rsid w:val="00B979A2"/>
    <w:rsid w:val="00B97E6B"/>
    <w:rsid w:val="00BA0DA9"/>
    <w:rsid w:val="00BA103E"/>
    <w:rsid w:val="00BA1C9F"/>
    <w:rsid w:val="00BA21BB"/>
    <w:rsid w:val="00BA225D"/>
    <w:rsid w:val="00BA2794"/>
    <w:rsid w:val="00BA27B4"/>
    <w:rsid w:val="00BA2B58"/>
    <w:rsid w:val="00BA2E7A"/>
    <w:rsid w:val="00BA37D9"/>
    <w:rsid w:val="00BA3EB7"/>
    <w:rsid w:val="00BA45AE"/>
    <w:rsid w:val="00BA4625"/>
    <w:rsid w:val="00BA6003"/>
    <w:rsid w:val="00BA600D"/>
    <w:rsid w:val="00BA66FE"/>
    <w:rsid w:val="00BA765F"/>
    <w:rsid w:val="00BB066E"/>
    <w:rsid w:val="00BB0E8C"/>
    <w:rsid w:val="00BB28E9"/>
    <w:rsid w:val="00BB2D13"/>
    <w:rsid w:val="00BB44D5"/>
    <w:rsid w:val="00BB453F"/>
    <w:rsid w:val="00BB48F5"/>
    <w:rsid w:val="00BB5329"/>
    <w:rsid w:val="00BB54BA"/>
    <w:rsid w:val="00BB5C74"/>
    <w:rsid w:val="00BB648D"/>
    <w:rsid w:val="00BB687C"/>
    <w:rsid w:val="00BB693F"/>
    <w:rsid w:val="00BB7766"/>
    <w:rsid w:val="00BC01DE"/>
    <w:rsid w:val="00BC0E37"/>
    <w:rsid w:val="00BC112F"/>
    <w:rsid w:val="00BC1ED1"/>
    <w:rsid w:val="00BC1FF4"/>
    <w:rsid w:val="00BC216C"/>
    <w:rsid w:val="00BC2175"/>
    <w:rsid w:val="00BC21B4"/>
    <w:rsid w:val="00BC2407"/>
    <w:rsid w:val="00BC36DA"/>
    <w:rsid w:val="00BC370F"/>
    <w:rsid w:val="00BC44C4"/>
    <w:rsid w:val="00BC533E"/>
    <w:rsid w:val="00BC594D"/>
    <w:rsid w:val="00BC5C80"/>
    <w:rsid w:val="00BC61AF"/>
    <w:rsid w:val="00BC63AE"/>
    <w:rsid w:val="00BC665F"/>
    <w:rsid w:val="00BC666B"/>
    <w:rsid w:val="00BC7285"/>
    <w:rsid w:val="00BD00EB"/>
    <w:rsid w:val="00BD1BFF"/>
    <w:rsid w:val="00BD1FAF"/>
    <w:rsid w:val="00BD28E8"/>
    <w:rsid w:val="00BD3016"/>
    <w:rsid w:val="00BD31C9"/>
    <w:rsid w:val="00BD3891"/>
    <w:rsid w:val="00BD4088"/>
    <w:rsid w:val="00BD4BF3"/>
    <w:rsid w:val="00BD5B23"/>
    <w:rsid w:val="00BD6744"/>
    <w:rsid w:val="00BD6DD3"/>
    <w:rsid w:val="00BD6E4F"/>
    <w:rsid w:val="00BE01A3"/>
    <w:rsid w:val="00BE0220"/>
    <w:rsid w:val="00BE1485"/>
    <w:rsid w:val="00BE19E0"/>
    <w:rsid w:val="00BE1B77"/>
    <w:rsid w:val="00BE1C1A"/>
    <w:rsid w:val="00BE20DF"/>
    <w:rsid w:val="00BE2D73"/>
    <w:rsid w:val="00BE3029"/>
    <w:rsid w:val="00BE3107"/>
    <w:rsid w:val="00BE3116"/>
    <w:rsid w:val="00BE32BD"/>
    <w:rsid w:val="00BE41A0"/>
    <w:rsid w:val="00BE4FB3"/>
    <w:rsid w:val="00BE5082"/>
    <w:rsid w:val="00BE5118"/>
    <w:rsid w:val="00BE5ADF"/>
    <w:rsid w:val="00BE5E2A"/>
    <w:rsid w:val="00BE67D6"/>
    <w:rsid w:val="00BE6FA8"/>
    <w:rsid w:val="00BE7772"/>
    <w:rsid w:val="00BF072A"/>
    <w:rsid w:val="00BF146A"/>
    <w:rsid w:val="00BF1837"/>
    <w:rsid w:val="00BF243A"/>
    <w:rsid w:val="00BF264B"/>
    <w:rsid w:val="00BF2B1A"/>
    <w:rsid w:val="00BF30A1"/>
    <w:rsid w:val="00BF311A"/>
    <w:rsid w:val="00BF31B8"/>
    <w:rsid w:val="00BF3842"/>
    <w:rsid w:val="00BF3DFC"/>
    <w:rsid w:val="00BF482E"/>
    <w:rsid w:val="00BF6046"/>
    <w:rsid w:val="00BF6647"/>
    <w:rsid w:val="00BF7AEA"/>
    <w:rsid w:val="00BF7BF7"/>
    <w:rsid w:val="00BF7D86"/>
    <w:rsid w:val="00BF7F98"/>
    <w:rsid w:val="00C00B3B"/>
    <w:rsid w:val="00C0106E"/>
    <w:rsid w:val="00C015F1"/>
    <w:rsid w:val="00C0192F"/>
    <w:rsid w:val="00C02B52"/>
    <w:rsid w:val="00C035E2"/>
    <w:rsid w:val="00C03D41"/>
    <w:rsid w:val="00C04816"/>
    <w:rsid w:val="00C06D8A"/>
    <w:rsid w:val="00C10D4E"/>
    <w:rsid w:val="00C110C4"/>
    <w:rsid w:val="00C11D04"/>
    <w:rsid w:val="00C12062"/>
    <w:rsid w:val="00C127E9"/>
    <w:rsid w:val="00C1349C"/>
    <w:rsid w:val="00C136EB"/>
    <w:rsid w:val="00C1389D"/>
    <w:rsid w:val="00C13EBD"/>
    <w:rsid w:val="00C151A5"/>
    <w:rsid w:val="00C15231"/>
    <w:rsid w:val="00C15471"/>
    <w:rsid w:val="00C159D2"/>
    <w:rsid w:val="00C16FCC"/>
    <w:rsid w:val="00C1769B"/>
    <w:rsid w:val="00C1783A"/>
    <w:rsid w:val="00C20532"/>
    <w:rsid w:val="00C20A34"/>
    <w:rsid w:val="00C20D1C"/>
    <w:rsid w:val="00C2238D"/>
    <w:rsid w:val="00C22E3A"/>
    <w:rsid w:val="00C23A36"/>
    <w:rsid w:val="00C2589E"/>
    <w:rsid w:val="00C25CA7"/>
    <w:rsid w:val="00C25E79"/>
    <w:rsid w:val="00C25EBE"/>
    <w:rsid w:val="00C26C75"/>
    <w:rsid w:val="00C26E3E"/>
    <w:rsid w:val="00C2702E"/>
    <w:rsid w:val="00C272C7"/>
    <w:rsid w:val="00C2731C"/>
    <w:rsid w:val="00C30528"/>
    <w:rsid w:val="00C30A5C"/>
    <w:rsid w:val="00C31091"/>
    <w:rsid w:val="00C31B3A"/>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005"/>
    <w:rsid w:val="00C43A94"/>
    <w:rsid w:val="00C43C3A"/>
    <w:rsid w:val="00C43C43"/>
    <w:rsid w:val="00C43CFD"/>
    <w:rsid w:val="00C442F2"/>
    <w:rsid w:val="00C44753"/>
    <w:rsid w:val="00C447FC"/>
    <w:rsid w:val="00C45647"/>
    <w:rsid w:val="00C45832"/>
    <w:rsid w:val="00C46790"/>
    <w:rsid w:val="00C46A2B"/>
    <w:rsid w:val="00C46A3E"/>
    <w:rsid w:val="00C470E1"/>
    <w:rsid w:val="00C50091"/>
    <w:rsid w:val="00C508E2"/>
    <w:rsid w:val="00C50D5B"/>
    <w:rsid w:val="00C5148A"/>
    <w:rsid w:val="00C51758"/>
    <w:rsid w:val="00C518AE"/>
    <w:rsid w:val="00C51980"/>
    <w:rsid w:val="00C51B2A"/>
    <w:rsid w:val="00C5253C"/>
    <w:rsid w:val="00C53711"/>
    <w:rsid w:val="00C53A28"/>
    <w:rsid w:val="00C53C24"/>
    <w:rsid w:val="00C5428C"/>
    <w:rsid w:val="00C5490D"/>
    <w:rsid w:val="00C553DC"/>
    <w:rsid w:val="00C55A6A"/>
    <w:rsid w:val="00C55B47"/>
    <w:rsid w:val="00C56549"/>
    <w:rsid w:val="00C568DB"/>
    <w:rsid w:val="00C56B61"/>
    <w:rsid w:val="00C56EA3"/>
    <w:rsid w:val="00C57DEB"/>
    <w:rsid w:val="00C606EF"/>
    <w:rsid w:val="00C60D92"/>
    <w:rsid w:val="00C615A9"/>
    <w:rsid w:val="00C622A7"/>
    <w:rsid w:val="00C62632"/>
    <w:rsid w:val="00C626CC"/>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19"/>
    <w:rsid w:val="00C75F72"/>
    <w:rsid w:val="00C76DCA"/>
    <w:rsid w:val="00C770F4"/>
    <w:rsid w:val="00C775F2"/>
    <w:rsid w:val="00C77AF2"/>
    <w:rsid w:val="00C8046B"/>
    <w:rsid w:val="00C8069C"/>
    <w:rsid w:val="00C809BA"/>
    <w:rsid w:val="00C80C8B"/>
    <w:rsid w:val="00C83261"/>
    <w:rsid w:val="00C845F0"/>
    <w:rsid w:val="00C84E03"/>
    <w:rsid w:val="00C855EA"/>
    <w:rsid w:val="00C86096"/>
    <w:rsid w:val="00C86CDA"/>
    <w:rsid w:val="00C86DFE"/>
    <w:rsid w:val="00C876D4"/>
    <w:rsid w:val="00C902F9"/>
    <w:rsid w:val="00C90E9B"/>
    <w:rsid w:val="00C910D3"/>
    <w:rsid w:val="00C91740"/>
    <w:rsid w:val="00C9211E"/>
    <w:rsid w:val="00C92BC3"/>
    <w:rsid w:val="00C936EB"/>
    <w:rsid w:val="00C93D5A"/>
    <w:rsid w:val="00C964DB"/>
    <w:rsid w:val="00C96B20"/>
    <w:rsid w:val="00C97F4E"/>
    <w:rsid w:val="00CA06BE"/>
    <w:rsid w:val="00CA09C4"/>
    <w:rsid w:val="00CA0CE8"/>
    <w:rsid w:val="00CA26C0"/>
    <w:rsid w:val="00CA585E"/>
    <w:rsid w:val="00CA5D86"/>
    <w:rsid w:val="00CA6B6E"/>
    <w:rsid w:val="00CA7489"/>
    <w:rsid w:val="00CA75CE"/>
    <w:rsid w:val="00CA7A63"/>
    <w:rsid w:val="00CB0217"/>
    <w:rsid w:val="00CB05F7"/>
    <w:rsid w:val="00CB0AD6"/>
    <w:rsid w:val="00CB11E3"/>
    <w:rsid w:val="00CB2900"/>
    <w:rsid w:val="00CB3BF6"/>
    <w:rsid w:val="00CB42E2"/>
    <w:rsid w:val="00CB4BEA"/>
    <w:rsid w:val="00CB5475"/>
    <w:rsid w:val="00CB5D66"/>
    <w:rsid w:val="00CB618D"/>
    <w:rsid w:val="00CB7637"/>
    <w:rsid w:val="00CB769F"/>
    <w:rsid w:val="00CC0E7B"/>
    <w:rsid w:val="00CC160C"/>
    <w:rsid w:val="00CC1882"/>
    <w:rsid w:val="00CC1F37"/>
    <w:rsid w:val="00CC3395"/>
    <w:rsid w:val="00CC34C0"/>
    <w:rsid w:val="00CC34C9"/>
    <w:rsid w:val="00CC36CC"/>
    <w:rsid w:val="00CC36D1"/>
    <w:rsid w:val="00CC3C8A"/>
    <w:rsid w:val="00CC42B8"/>
    <w:rsid w:val="00CC497F"/>
    <w:rsid w:val="00CC4EE4"/>
    <w:rsid w:val="00CC5CB7"/>
    <w:rsid w:val="00CC69DD"/>
    <w:rsid w:val="00CC7A59"/>
    <w:rsid w:val="00CD0D4B"/>
    <w:rsid w:val="00CD0EDB"/>
    <w:rsid w:val="00CD13D6"/>
    <w:rsid w:val="00CD14F2"/>
    <w:rsid w:val="00CD1703"/>
    <w:rsid w:val="00CD182C"/>
    <w:rsid w:val="00CD359A"/>
    <w:rsid w:val="00CD375D"/>
    <w:rsid w:val="00CD436D"/>
    <w:rsid w:val="00CD48B6"/>
    <w:rsid w:val="00CD4A4E"/>
    <w:rsid w:val="00CD4D2C"/>
    <w:rsid w:val="00CD6CAC"/>
    <w:rsid w:val="00CD72FA"/>
    <w:rsid w:val="00CE1739"/>
    <w:rsid w:val="00CE1D89"/>
    <w:rsid w:val="00CE2B4A"/>
    <w:rsid w:val="00CE2D38"/>
    <w:rsid w:val="00CE311F"/>
    <w:rsid w:val="00CE4019"/>
    <w:rsid w:val="00CE409E"/>
    <w:rsid w:val="00CE54A7"/>
    <w:rsid w:val="00CE590F"/>
    <w:rsid w:val="00CE5F9D"/>
    <w:rsid w:val="00CE6C4D"/>
    <w:rsid w:val="00CE6D1E"/>
    <w:rsid w:val="00CE7035"/>
    <w:rsid w:val="00CE772F"/>
    <w:rsid w:val="00CF05C0"/>
    <w:rsid w:val="00CF1301"/>
    <w:rsid w:val="00CF1B9C"/>
    <w:rsid w:val="00CF2524"/>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E6F"/>
    <w:rsid w:val="00D05DFD"/>
    <w:rsid w:val="00D066F4"/>
    <w:rsid w:val="00D0677C"/>
    <w:rsid w:val="00D073A3"/>
    <w:rsid w:val="00D108F6"/>
    <w:rsid w:val="00D109B0"/>
    <w:rsid w:val="00D10F7C"/>
    <w:rsid w:val="00D11164"/>
    <w:rsid w:val="00D11BC7"/>
    <w:rsid w:val="00D1223A"/>
    <w:rsid w:val="00D127D2"/>
    <w:rsid w:val="00D128B7"/>
    <w:rsid w:val="00D12B66"/>
    <w:rsid w:val="00D12D66"/>
    <w:rsid w:val="00D13AF1"/>
    <w:rsid w:val="00D13F00"/>
    <w:rsid w:val="00D15B93"/>
    <w:rsid w:val="00D1616D"/>
    <w:rsid w:val="00D16610"/>
    <w:rsid w:val="00D171D8"/>
    <w:rsid w:val="00D17FC9"/>
    <w:rsid w:val="00D208DB"/>
    <w:rsid w:val="00D20C14"/>
    <w:rsid w:val="00D21E1B"/>
    <w:rsid w:val="00D22E7C"/>
    <w:rsid w:val="00D238DB"/>
    <w:rsid w:val="00D240C7"/>
    <w:rsid w:val="00D24814"/>
    <w:rsid w:val="00D24C55"/>
    <w:rsid w:val="00D24D48"/>
    <w:rsid w:val="00D25601"/>
    <w:rsid w:val="00D25ADE"/>
    <w:rsid w:val="00D26656"/>
    <w:rsid w:val="00D2665A"/>
    <w:rsid w:val="00D266A9"/>
    <w:rsid w:val="00D26E76"/>
    <w:rsid w:val="00D306C6"/>
    <w:rsid w:val="00D32E8C"/>
    <w:rsid w:val="00D332E7"/>
    <w:rsid w:val="00D33505"/>
    <w:rsid w:val="00D33916"/>
    <w:rsid w:val="00D3435D"/>
    <w:rsid w:val="00D34B2B"/>
    <w:rsid w:val="00D34C4B"/>
    <w:rsid w:val="00D34D38"/>
    <w:rsid w:val="00D34D50"/>
    <w:rsid w:val="00D3534D"/>
    <w:rsid w:val="00D35602"/>
    <w:rsid w:val="00D36485"/>
    <w:rsid w:val="00D365DA"/>
    <w:rsid w:val="00D368BB"/>
    <w:rsid w:val="00D378D6"/>
    <w:rsid w:val="00D40463"/>
    <w:rsid w:val="00D41884"/>
    <w:rsid w:val="00D41B8F"/>
    <w:rsid w:val="00D420A2"/>
    <w:rsid w:val="00D42994"/>
    <w:rsid w:val="00D42DE4"/>
    <w:rsid w:val="00D43E61"/>
    <w:rsid w:val="00D43F7C"/>
    <w:rsid w:val="00D44537"/>
    <w:rsid w:val="00D452C6"/>
    <w:rsid w:val="00D45DFD"/>
    <w:rsid w:val="00D463D7"/>
    <w:rsid w:val="00D46F86"/>
    <w:rsid w:val="00D47016"/>
    <w:rsid w:val="00D471A3"/>
    <w:rsid w:val="00D471B1"/>
    <w:rsid w:val="00D47844"/>
    <w:rsid w:val="00D47CED"/>
    <w:rsid w:val="00D50BC4"/>
    <w:rsid w:val="00D50D2E"/>
    <w:rsid w:val="00D515A2"/>
    <w:rsid w:val="00D5203C"/>
    <w:rsid w:val="00D52DA9"/>
    <w:rsid w:val="00D52E98"/>
    <w:rsid w:val="00D54779"/>
    <w:rsid w:val="00D5503F"/>
    <w:rsid w:val="00D5522C"/>
    <w:rsid w:val="00D55940"/>
    <w:rsid w:val="00D562A7"/>
    <w:rsid w:val="00D56756"/>
    <w:rsid w:val="00D57792"/>
    <w:rsid w:val="00D601FE"/>
    <w:rsid w:val="00D60997"/>
    <w:rsid w:val="00D61BE8"/>
    <w:rsid w:val="00D620CE"/>
    <w:rsid w:val="00D62392"/>
    <w:rsid w:val="00D62AD3"/>
    <w:rsid w:val="00D62CEE"/>
    <w:rsid w:val="00D64602"/>
    <w:rsid w:val="00D646C0"/>
    <w:rsid w:val="00D6507E"/>
    <w:rsid w:val="00D65988"/>
    <w:rsid w:val="00D65E96"/>
    <w:rsid w:val="00D65EAC"/>
    <w:rsid w:val="00D6673C"/>
    <w:rsid w:val="00D66C0B"/>
    <w:rsid w:val="00D66C27"/>
    <w:rsid w:val="00D66EAA"/>
    <w:rsid w:val="00D6769C"/>
    <w:rsid w:val="00D67921"/>
    <w:rsid w:val="00D705B0"/>
    <w:rsid w:val="00D70EA1"/>
    <w:rsid w:val="00D71FDF"/>
    <w:rsid w:val="00D72038"/>
    <w:rsid w:val="00D73037"/>
    <w:rsid w:val="00D734BE"/>
    <w:rsid w:val="00D737B3"/>
    <w:rsid w:val="00D73F6B"/>
    <w:rsid w:val="00D7508E"/>
    <w:rsid w:val="00D75EC1"/>
    <w:rsid w:val="00D8009E"/>
    <w:rsid w:val="00D80266"/>
    <w:rsid w:val="00D8030B"/>
    <w:rsid w:val="00D81E39"/>
    <w:rsid w:val="00D848C7"/>
    <w:rsid w:val="00D84B3B"/>
    <w:rsid w:val="00D857A2"/>
    <w:rsid w:val="00D85C55"/>
    <w:rsid w:val="00D8657C"/>
    <w:rsid w:val="00D87098"/>
    <w:rsid w:val="00D900E5"/>
    <w:rsid w:val="00D90960"/>
    <w:rsid w:val="00D91110"/>
    <w:rsid w:val="00D9167D"/>
    <w:rsid w:val="00D917F0"/>
    <w:rsid w:val="00D918C2"/>
    <w:rsid w:val="00D92985"/>
    <w:rsid w:val="00D931DF"/>
    <w:rsid w:val="00D94032"/>
    <w:rsid w:val="00D94C23"/>
    <w:rsid w:val="00D95DF8"/>
    <w:rsid w:val="00D97319"/>
    <w:rsid w:val="00D97CF3"/>
    <w:rsid w:val="00DA009B"/>
    <w:rsid w:val="00DA15CA"/>
    <w:rsid w:val="00DA1EAF"/>
    <w:rsid w:val="00DA39C4"/>
    <w:rsid w:val="00DA42BE"/>
    <w:rsid w:val="00DA56A2"/>
    <w:rsid w:val="00DA56E7"/>
    <w:rsid w:val="00DA5CDC"/>
    <w:rsid w:val="00DA72C5"/>
    <w:rsid w:val="00DA7F46"/>
    <w:rsid w:val="00DB1C7E"/>
    <w:rsid w:val="00DB1D31"/>
    <w:rsid w:val="00DB28F8"/>
    <w:rsid w:val="00DB36F0"/>
    <w:rsid w:val="00DB5A61"/>
    <w:rsid w:val="00DB6884"/>
    <w:rsid w:val="00DB6BCC"/>
    <w:rsid w:val="00DB70D4"/>
    <w:rsid w:val="00DB7398"/>
    <w:rsid w:val="00DB78F4"/>
    <w:rsid w:val="00DB7EE0"/>
    <w:rsid w:val="00DC0964"/>
    <w:rsid w:val="00DC2C7D"/>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F28"/>
    <w:rsid w:val="00DD3231"/>
    <w:rsid w:val="00DD38B3"/>
    <w:rsid w:val="00DD3DE0"/>
    <w:rsid w:val="00DD3E4A"/>
    <w:rsid w:val="00DD425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4758"/>
    <w:rsid w:val="00DE4976"/>
    <w:rsid w:val="00DE5B52"/>
    <w:rsid w:val="00DE64E1"/>
    <w:rsid w:val="00DE7004"/>
    <w:rsid w:val="00DE712C"/>
    <w:rsid w:val="00DE75C2"/>
    <w:rsid w:val="00DF16A3"/>
    <w:rsid w:val="00DF17DC"/>
    <w:rsid w:val="00DF1B63"/>
    <w:rsid w:val="00DF1C56"/>
    <w:rsid w:val="00DF2004"/>
    <w:rsid w:val="00DF20C8"/>
    <w:rsid w:val="00DF255E"/>
    <w:rsid w:val="00DF26BB"/>
    <w:rsid w:val="00DF2DCF"/>
    <w:rsid w:val="00DF31BF"/>
    <w:rsid w:val="00DF31FF"/>
    <w:rsid w:val="00DF4E55"/>
    <w:rsid w:val="00DF6F25"/>
    <w:rsid w:val="00DF728E"/>
    <w:rsid w:val="00DF7BF6"/>
    <w:rsid w:val="00E007EB"/>
    <w:rsid w:val="00E01B3B"/>
    <w:rsid w:val="00E021B8"/>
    <w:rsid w:val="00E02CFD"/>
    <w:rsid w:val="00E03DB4"/>
    <w:rsid w:val="00E046C2"/>
    <w:rsid w:val="00E04D1D"/>
    <w:rsid w:val="00E056F9"/>
    <w:rsid w:val="00E0606D"/>
    <w:rsid w:val="00E068B4"/>
    <w:rsid w:val="00E06C17"/>
    <w:rsid w:val="00E06FFB"/>
    <w:rsid w:val="00E100D9"/>
    <w:rsid w:val="00E101A7"/>
    <w:rsid w:val="00E109E5"/>
    <w:rsid w:val="00E11278"/>
    <w:rsid w:val="00E1281B"/>
    <w:rsid w:val="00E13193"/>
    <w:rsid w:val="00E13E39"/>
    <w:rsid w:val="00E13E8F"/>
    <w:rsid w:val="00E149B2"/>
    <w:rsid w:val="00E1649A"/>
    <w:rsid w:val="00E171E4"/>
    <w:rsid w:val="00E17B40"/>
    <w:rsid w:val="00E17E86"/>
    <w:rsid w:val="00E20ED0"/>
    <w:rsid w:val="00E21286"/>
    <w:rsid w:val="00E22484"/>
    <w:rsid w:val="00E228F8"/>
    <w:rsid w:val="00E2297E"/>
    <w:rsid w:val="00E22ADD"/>
    <w:rsid w:val="00E24B7B"/>
    <w:rsid w:val="00E25DB3"/>
    <w:rsid w:val="00E25E84"/>
    <w:rsid w:val="00E2759E"/>
    <w:rsid w:val="00E27A1A"/>
    <w:rsid w:val="00E3072A"/>
    <w:rsid w:val="00E30C27"/>
    <w:rsid w:val="00E30C4F"/>
    <w:rsid w:val="00E3369E"/>
    <w:rsid w:val="00E3397F"/>
    <w:rsid w:val="00E363B3"/>
    <w:rsid w:val="00E40668"/>
    <w:rsid w:val="00E40967"/>
    <w:rsid w:val="00E41B2A"/>
    <w:rsid w:val="00E4245E"/>
    <w:rsid w:val="00E437E2"/>
    <w:rsid w:val="00E43AD5"/>
    <w:rsid w:val="00E43F43"/>
    <w:rsid w:val="00E45F17"/>
    <w:rsid w:val="00E46688"/>
    <w:rsid w:val="00E46B13"/>
    <w:rsid w:val="00E46EFC"/>
    <w:rsid w:val="00E47F06"/>
    <w:rsid w:val="00E514E9"/>
    <w:rsid w:val="00E519A6"/>
    <w:rsid w:val="00E520DC"/>
    <w:rsid w:val="00E526C0"/>
    <w:rsid w:val="00E52808"/>
    <w:rsid w:val="00E52FC4"/>
    <w:rsid w:val="00E53A48"/>
    <w:rsid w:val="00E53AA5"/>
    <w:rsid w:val="00E53BD8"/>
    <w:rsid w:val="00E570AA"/>
    <w:rsid w:val="00E570CC"/>
    <w:rsid w:val="00E57714"/>
    <w:rsid w:val="00E60354"/>
    <w:rsid w:val="00E60650"/>
    <w:rsid w:val="00E60CCA"/>
    <w:rsid w:val="00E616B0"/>
    <w:rsid w:val="00E61B16"/>
    <w:rsid w:val="00E627EE"/>
    <w:rsid w:val="00E62D7A"/>
    <w:rsid w:val="00E638F2"/>
    <w:rsid w:val="00E64047"/>
    <w:rsid w:val="00E64CDF"/>
    <w:rsid w:val="00E651B7"/>
    <w:rsid w:val="00E6573D"/>
    <w:rsid w:val="00E65DD5"/>
    <w:rsid w:val="00E67A3F"/>
    <w:rsid w:val="00E67BA8"/>
    <w:rsid w:val="00E67D49"/>
    <w:rsid w:val="00E7030F"/>
    <w:rsid w:val="00E70DEF"/>
    <w:rsid w:val="00E7145E"/>
    <w:rsid w:val="00E71F86"/>
    <w:rsid w:val="00E7240D"/>
    <w:rsid w:val="00E725D2"/>
    <w:rsid w:val="00E74A7B"/>
    <w:rsid w:val="00E74B4C"/>
    <w:rsid w:val="00E74B9B"/>
    <w:rsid w:val="00E754FD"/>
    <w:rsid w:val="00E759BC"/>
    <w:rsid w:val="00E75D27"/>
    <w:rsid w:val="00E7674E"/>
    <w:rsid w:val="00E76C86"/>
    <w:rsid w:val="00E80719"/>
    <w:rsid w:val="00E810C9"/>
    <w:rsid w:val="00E81795"/>
    <w:rsid w:val="00E821E5"/>
    <w:rsid w:val="00E83278"/>
    <w:rsid w:val="00E833DA"/>
    <w:rsid w:val="00E83B7B"/>
    <w:rsid w:val="00E8455A"/>
    <w:rsid w:val="00E86B32"/>
    <w:rsid w:val="00E86DAE"/>
    <w:rsid w:val="00E87D4C"/>
    <w:rsid w:val="00E906BC"/>
    <w:rsid w:val="00E910BA"/>
    <w:rsid w:val="00E9158E"/>
    <w:rsid w:val="00E91AAC"/>
    <w:rsid w:val="00E91CDE"/>
    <w:rsid w:val="00E92056"/>
    <w:rsid w:val="00E93643"/>
    <w:rsid w:val="00E93E48"/>
    <w:rsid w:val="00E942A4"/>
    <w:rsid w:val="00E94E9D"/>
    <w:rsid w:val="00E95331"/>
    <w:rsid w:val="00E95356"/>
    <w:rsid w:val="00E953F9"/>
    <w:rsid w:val="00E95BDD"/>
    <w:rsid w:val="00E95C62"/>
    <w:rsid w:val="00E97088"/>
    <w:rsid w:val="00E97320"/>
    <w:rsid w:val="00E97D7D"/>
    <w:rsid w:val="00EA06E8"/>
    <w:rsid w:val="00EA214B"/>
    <w:rsid w:val="00EA2471"/>
    <w:rsid w:val="00EA3B59"/>
    <w:rsid w:val="00EA4345"/>
    <w:rsid w:val="00EA48F1"/>
    <w:rsid w:val="00EA4FE6"/>
    <w:rsid w:val="00EA5501"/>
    <w:rsid w:val="00EA5B4A"/>
    <w:rsid w:val="00EA7F98"/>
    <w:rsid w:val="00EB193F"/>
    <w:rsid w:val="00EB1A0E"/>
    <w:rsid w:val="00EB1AF5"/>
    <w:rsid w:val="00EB2031"/>
    <w:rsid w:val="00EB28D5"/>
    <w:rsid w:val="00EB2C0D"/>
    <w:rsid w:val="00EB349B"/>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707"/>
    <w:rsid w:val="00ED02F8"/>
    <w:rsid w:val="00ED0A49"/>
    <w:rsid w:val="00ED0CF8"/>
    <w:rsid w:val="00ED1278"/>
    <w:rsid w:val="00ED168D"/>
    <w:rsid w:val="00ED1967"/>
    <w:rsid w:val="00ED1A96"/>
    <w:rsid w:val="00ED2164"/>
    <w:rsid w:val="00ED2778"/>
    <w:rsid w:val="00ED35E7"/>
    <w:rsid w:val="00ED4313"/>
    <w:rsid w:val="00ED4C33"/>
    <w:rsid w:val="00ED4F52"/>
    <w:rsid w:val="00ED5EE8"/>
    <w:rsid w:val="00ED76F0"/>
    <w:rsid w:val="00ED7AC4"/>
    <w:rsid w:val="00ED7BF9"/>
    <w:rsid w:val="00ED7F66"/>
    <w:rsid w:val="00EE025D"/>
    <w:rsid w:val="00EE142C"/>
    <w:rsid w:val="00EE1711"/>
    <w:rsid w:val="00EE2134"/>
    <w:rsid w:val="00EE215A"/>
    <w:rsid w:val="00EE3145"/>
    <w:rsid w:val="00EE33DD"/>
    <w:rsid w:val="00EE38A8"/>
    <w:rsid w:val="00EE4488"/>
    <w:rsid w:val="00EE4539"/>
    <w:rsid w:val="00EE5806"/>
    <w:rsid w:val="00EE5F65"/>
    <w:rsid w:val="00EE6691"/>
    <w:rsid w:val="00EE6E24"/>
    <w:rsid w:val="00EF0E0C"/>
    <w:rsid w:val="00EF0F19"/>
    <w:rsid w:val="00EF0FD3"/>
    <w:rsid w:val="00EF1088"/>
    <w:rsid w:val="00EF1250"/>
    <w:rsid w:val="00EF1437"/>
    <w:rsid w:val="00EF16B0"/>
    <w:rsid w:val="00EF2086"/>
    <w:rsid w:val="00EF22FA"/>
    <w:rsid w:val="00EF2426"/>
    <w:rsid w:val="00EF4C79"/>
    <w:rsid w:val="00EF5251"/>
    <w:rsid w:val="00EF5A28"/>
    <w:rsid w:val="00EF5A64"/>
    <w:rsid w:val="00EF5C1B"/>
    <w:rsid w:val="00F002AF"/>
    <w:rsid w:val="00F0048D"/>
    <w:rsid w:val="00F006E2"/>
    <w:rsid w:val="00F021CB"/>
    <w:rsid w:val="00F02F6A"/>
    <w:rsid w:val="00F03E22"/>
    <w:rsid w:val="00F04141"/>
    <w:rsid w:val="00F049AA"/>
    <w:rsid w:val="00F04FE7"/>
    <w:rsid w:val="00F06279"/>
    <w:rsid w:val="00F06A3E"/>
    <w:rsid w:val="00F06C76"/>
    <w:rsid w:val="00F07735"/>
    <w:rsid w:val="00F07C18"/>
    <w:rsid w:val="00F10259"/>
    <w:rsid w:val="00F10B87"/>
    <w:rsid w:val="00F119CB"/>
    <w:rsid w:val="00F128B9"/>
    <w:rsid w:val="00F12AAD"/>
    <w:rsid w:val="00F12E3F"/>
    <w:rsid w:val="00F13A3B"/>
    <w:rsid w:val="00F14D2C"/>
    <w:rsid w:val="00F162F0"/>
    <w:rsid w:val="00F168D0"/>
    <w:rsid w:val="00F1695D"/>
    <w:rsid w:val="00F16BFF"/>
    <w:rsid w:val="00F1793E"/>
    <w:rsid w:val="00F204D1"/>
    <w:rsid w:val="00F20752"/>
    <w:rsid w:val="00F212E3"/>
    <w:rsid w:val="00F213F1"/>
    <w:rsid w:val="00F214E0"/>
    <w:rsid w:val="00F223CC"/>
    <w:rsid w:val="00F22D43"/>
    <w:rsid w:val="00F23158"/>
    <w:rsid w:val="00F237F1"/>
    <w:rsid w:val="00F23F55"/>
    <w:rsid w:val="00F24A18"/>
    <w:rsid w:val="00F251D1"/>
    <w:rsid w:val="00F255A6"/>
    <w:rsid w:val="00F25C5A"/>
    <w:rsid w:val="00F274BB"/>
    <w:rsid w:val="00F27BD5"/>
    <w:rsid w:val="00F308ED"/>
    <w:rsid w:val="00F31342"/>
    <w:rsid w:val="00F31397"/>
    <w:rsid w:val="00F318F7"/>
    <w:rsid w:val="00F33B3F"/>
    <w:rsid w:val="00F33D54"/>
    <w:rsid w:val="00F34EE7"/>
    <w:rsid w:val="00F35020"/>
    <w:rsid w:val="00F354EA"/>
    <w:rsid w:val="00F36035"/>
    <w:rsid w:val="00F3631B"/>
    <w:rsid w:val="00F36A56"/>
    <w:rsid w:val="00F37CDA"/>
    <w:rsid w:val="00F37E8C"/>
    <w:rsid w:val="00F401E5"/>
    <w:rsid w:val="00F404D7"/>
    <w:rsid w:val="00F40870"/>
    <w:rsid w:val="00F413DD"/>
    <w:rsid w:val="00F430F0"/>
    <w:rsid w:val="00F4333C"/>
    <w:rsid w:val="00F43800"/>
    <w:rsid w:val="00F43AEB"/>
    <w:rsid w:val="00F43E2B"/>
    <w:rsid w:val="00F45D1A"/>
    <w:rsid w:val="00F4623A"/>
    <w:rsid w:val="00F463D0"/>
    <w:rsid w:val="00F46602"/>
    <w:rsid w:val="00F5030B"/>
    <w:rsid w:val="00F50D3C"/>
    <w:rsid w:val="00F51080"/>
    <w:rsid w:val="00F5167F"/>
    <w:rsid w:val="00F523B3"/>
    <w:rsid w:val="00F52E34"/>
    <w:rsid w:val="00F53496"/>
    <w:rsid w:val="00F53E5A"/>
    <w:rsid w:val="00F53FEE"/>
    <w:rsid w:val="00F5497F"/>
    <w:rsid w:val="00F549AE"/>
    <w:rsid w:val="00F54FE1"/>
    <w:rsid w:val="00F5502B"/>
    <w:rsid w:val="00F550AF"/>
    <w:rsid w:val="00F55589"/>
    <w:rsid w:val="00F55693"/>
    <w:rsid w:val="00F563DD"/>
    <w:rsid w:val="00F5663D"/>
    <w:rsid w:val="00F56884"/>
    <w:rsid w:val="00F56D0D"/>
    <w:rsid w:val="00F573E4"/>
    <w:rsid w:val="00F5778F"/>
    <w:rsid w:val="00F60BA7"/>
    <w:rsid w:val="00F61360"/>
    <w:rsid w:val="00F616F0"/>
    <w:rsid w:val="00F6288F"/>
    <w:rsid w:val="00F63E90"/>
    <w:rsid w:val="00F64160"/>
    <w:rsid w:val="00F644B9"/>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231"/>
    <w:rsid w:val="00F73D76"/>
    <w:rsid w:val="00F73E3F"/>
    <w:rsid w:val="00F73EDD"/>
    <w:rsid w:val="00F746CD"/>
    <w:rsid w:val="00F75BF0"/>
    <w:rsid w:val="00F7741A"/>
    <w:rsid w:val="00F80BBD"/>
    <w:rsid w:val="00F8196B"/>
    <w:rsid w:val="00F825FC"/>
    <w:rsid w:val="00F82798"/>
    <w:rsid w:val="00F82ADC"/>
    <w:rsid w:val="00F82C1A"/>
    <w:rsid w:val="00F82F4D"/>
    <w:rsid w:val="00F83505"/>
    <w:rsid w:val="00F8414A"/>
    <w:rsid w:val="00F846A1"/>
    <w:rsid w:val="00F8470D"/>
    <w:rsid w:val="00F857A6"/>
    <w:rsid w:val="00F87B81"/>
    <w:rsid w:val="00F927A2"/>
    <w:rsid w:val="00F931E0"/>
    <w:rsid w:val="00F93433"/>
    <w:rsid w:val="00F94094"/>
    <w:rsid w:val="00F942B1"/>
    <w:rsid w:val="00F94611"/>
    <w:rsid w:val="00F94FCB"/>
    <w:rsid w:val="00F95D71"/>
    <w:rsid w:val="00F96338"/>
    <w:rsid w:val="00F96E7A"/>
    <w:rsid w:val="00F970D6"/>
    <w:rsid w:val="00F97D04"/>
    <w:rsid w:val="00FA003B"/>
    <w:rsid w:val="00FA02FD"/>
    <w:rsid w:val="00FA0525"/>
    <w:rsid w:val="00FA1912"/>
    <w:rsid w:val="00FA1957"/>
    <w:rsid w:val="00FA23E2"/>
    <w:rsid w:val="00FA2F3C"/>
    <w:rsid w:val="00FA41AB"/>
    <w:rsid w:val="00FA46F5"/>
    <w:rsid w:val="00FA49D4"/>
    <w:rsid w:val="00FA4EA1"/>
    <w:rsid w:val="00FA587E"/>
    <w:rsid w:val="00FA58A8"/>
    <w:rsid w:val="00FA5AB5"/>
    <w:rsid w:val="00FA5DE8"/>
    <w:rsid w:val="00FA6A49"/>
    <w:rsid w:val="00FA6EB4"/>
    <w:rsid w:val="00FA6F36"/>
    <w:rsid w:val="00FA75FD"/>
    <w:rsid w:val="00FA7C6E"/>
    <w:rsid w:val="00FB0629"/>
    <w:rsid w:val="00FB198F"/>
    <w:rsid w:val="00FB1C0A"/>
    <w:rsid w:val="00FB33FF"/>
    <w:rsid w:val="00FB399A"/>
    <w:rsid w:val="00FB44B5"/>
    <w:rsid w:val="00FB4BFC"/>
    <w:rsid w:val="00FB54E7"/>
    <w:rsid w:val="00FB56D9"/>
    <w:rsid w:val="00FB59D6"/>
    <w:rsid w:val="00FB6850"/>
    <w:rsid w:val="00FB7245"/>
    <w:rsid w:val="00FB7ACA"/>
    <w:rsid w:val="00FC0168"/>
    <w:rsid w:val="00FC03C8"/>
    <w:rsid w:val="00FC1EA3"/>
    <w:rsid w:val="00FC1F9A"/>
    <w:rsid w:val="00FC204B"/>
    <w:rsid w:val="00FC20B5"/>
    <w:rsid w:val="00FC2E1E"/>
    <w:rsid w:val="00FC3549"/>
    <w:rsid w:val="00FC36A3"/>
    <w:rsid w:val="00FC396A"/>
    <w:rsid w:val="00FC3D51"/>
    <w:rsid w:val="00FC41A8"/>
    <w:rsid w:val="00FC4D01"/>
    <w:rsid w:val="00FC545D"/>
    <w:rsid w:val="00FC5795"/>
    <w:rsid w:val="00FC67A5"/>
    <w:rsid w:val="00FC6E87"/>
    <w:rsid w:val="00FC713A"/>
    <w:rsid w:val="00FC72E6"/>
    <w:rsid w:val="00FD1C4B"/>
    <w:rsid w:val="00FD22FA"/>
    <w:rsid w:val="00FD2662"/>
    <w:rsid w:val="00FD2F78"/>
    <w:rsid w:val="00FD3D8E"/>
    <w:rsid w:val="00FD45B6"/>
    <w:rsid w:val="00FD46F0"/>
    <w:rsid w:val="00FD4E67"/>
    <w:rsid w:val="00FD52C3"/>
    <w:rsid w:val="00FD5B38"/>
    <w:rsid w:val="00FD65B6"/>
    <w:rsid w:val="00FD710D"/>
    <w:rsid w:val="00FD7374"/>
    <w:rsid w:val="00FE0B44"/>
    <w:rsid w:val="00FE1D5F"/>
    <w:rsid w:val="00FE2F2C"/>
    <w:rsid w:val="00FE312E"/>
    <w:rsid w:val="00FE34EC"/>
    <w:rsid w:val="00FE3572"/>
    <w:rsid w:val="00FE3774"/>
    <w:rsid w:val="00FE4E83"/>
    <w:rsid w:val="00FE51CA"/>
    <w:rsid w:val="00FE607B"/>
    <w:rsid w:val="00FE6944"/>
    <w:rsid w:val="00FE7384"/>
    <w:rsid w:val="00FE7545"/>
    <w:rsid w:val="00FE75FC"/>
    <w:rsid w:val="00FE769E"/>
    <w:rsid w:val="00FE76EE"/>
    <w:rsid w:val="00FF1DE0"/>
    <w:rsid w:val="00FF21AA"/>
    <w:rsid w:val="00FF3305"/>
    <w:rsid w:val="00FF3A09"/>
    <w:rsid w:val="00FF3A9C"/>
    <w:rsid w:val="00FF48A3"/>
    <w:rsid w:val="00FF573E"/>
    <w:rsid w:val="00FF5FAA"/>
    <w:rsid w:val="00FF71C5"/>
    <w:rsid w:val="00FF7511"/>
    <w:rsid w:val="00FF7D97"/>
    <w:rsid w:val="020267AE"/>
    <w:rsid w:val="05241976"/>
    <w:rsid w:val="06695227"/>
    <w:rsid w:val="094A0C64"/>
    <w:rsid w:val="0A596291"/>
    <w:rsid w:val="0C313CC4"/>
    <w:rsid w:val="0E895DEC"/>
    <w:rsid w:val="0E97171D"/>
    <w:rsid w:val="11543D9D"/>
    <w:rsid w:val="13144676"/>
    <w:rsid w:val="141134C4"/>
    <w:rsid w:val="14C82AAD"/>
    <w:rsid w:val="15E74EA3"/>
    <w:rsid w:val="15F852DA"/>
    <w:rsid w:val="17AE1BFB"/>
    <w:rsid w:val="18028372"/>
    <w:rsid w:val="1D310821"/>
    <w:rsid w:val="1DF06FDC"/>
    <w:rsid w:val="1E2E7762"/>
    <w:rsid w:val="1E432EE2"/>
    <w:rsid w:val="1F8D22A9"/>
    <w:rsid w:val="23C84C2B"/>
    <w:rsid w:val="2F105EB7"/>
    <w:rsid w:val="302E7434"/>
    <w:rsid w:val="30B273E7"/>
    <w:rsid w:val="350A3065"/>
    <w:rsid w:val="36B417CA"/>
    <w:rsid w:val="370905A4"/>
    <w:rsid w:val="37A6009B"/>
    <w:rsid w:val="3A192D6D"/>
    <w:rsid w:val="3E500D27"/>
    <w:rsid w:val="3F7F8D24"/>
    <w:rsid w:val="405E7F9B"/>
    <w:rsid w:val="40D41ED7"/>
    <w:rsid w:val="420B7A0F"/>
    <w:rsid w:val="429223F1"/>
    <w:rsid w:val="4333136F"/>
    <w:rsid w:val="458E2D89"/>
    <w:rsid w:val="477A3245"/>
    <w:rsid w:val="47F76603"/>
    <w:rsid w:val="486218AA"/>
    <w:rsid w:val="48AA3747"/>
    <w:rsid w:val="4AE5697A"/>
    <w:rsid w:val="4B154C05"/>
    <w:rsid w:val="4CBF412D"/>
    <w:rsid w:val="4F226AB9"/>
    <w:rsid w:val="516B2380"/>
    <w:rsid w:val="52BC0FFB"/>
    <w:rsid w:val="541657D9"/>
    <w:rsid w:val="549069C8"/>
    <w:rsid w:val="564458CB"/>
    <w:rsid w:val="57076232"/>
    <w:rsid w:val="592A069B"/>
    <w:rsid w:val="5B4367A1"/>
    <w:rsid w:val="5BAD2CD9"/>
    <w:rsid w:val="5DEDCCAF"/>
    <w:rsid w:val="60B85282"/>
    <w:rsid w:val="62360695"/>
    <w:rsid w:val="67213C70"/>
    <w:rsid w:val="6D3C87DA"/>
    <w:rsid w:val="6E5740CB"/>
    <w:rsid w:val="6E5A0CC9"/>
    <w:rsid w:val="6EEE001B"/>
    <w:rsid w:val="72B03567"/>
    <w:rsid w:val="73FD7D39"/>
    <w:rsid w:val="746019A9"/>
    <w:rsid w:val="77AC7108"/>
    <w:rsid w:val="77E110F7"/>
    <w:rsid w:val="77FF8126"/>
    <w:rsid w:val="7A6020BD"/>
    <w:rsid w:val="7B242D44"/>
    <w:rsid w:val="7CDD3461"/>
    <w:rsid w:val="7DA008BB"/>
    <w:rsid w:val="7DA8556F"/>
    <w:rsid w:val="7E601C84"/>
    <w:rsid w:val="7F7FF9C6"/>
    <w:rsid w:val="7FBD4EA2"/>
    <w:rsid w:val="7FE3757F"/>
    <w:rsid w:val="89B72D66"/>
    <w:rsid w:val="B6FF5B30"/>
    <w:rsid w:val="BF23B603"/>
    <w:rsid w:val="BFFF11A2"/>
    <w:rsid w:val="EE5F9F0A"/>
    <w:rsid w:val="FCBBA27D"/>
    <w:rsid w:val="FCFFFC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31"/>
    <w:qFormat/>
    <w:uiPriority w:val="0"/>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44"/>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65"/>
    <w:unhideWhenUsed/>
    <w:qFormat/>
    <w:uiPriority w:val="0"/>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72"/>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66"/>
    <w:unhideWhenUsed/>
    <w:qFormat/>
    <w:uiPriority w:val="0"/>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60"/>
    <w:qFormat/>
    <w:uiPriority w:val="0"/>
    <w:pPr>
      <w:jc w:val="left"/>
    </w:pPr>
  </w:style>
  <w:style w:type="paragraph" w:styleId="8">
    <w:name w:val="toc 3"/>
    <w:basedOn w:val="1"/>
    <w:next w:val="1"/>
    <w:qFormat/>
    <w:uiPriority w:val="0"/>
    <w:pPr>
      <w:spacing w:after="100"/>
      <w:ind w:left="420"/>
    </w:pPr>
  </w:style>
  <w:style w:type="paragraph" w:styleId="9">
    <w:name w:val="Balloon Text"/>
    <w:basedOn w:val="1"/>
    <w:link w:val="58"/>
    <w:qFormat/>
    <w:uiPriority w:val="0"/>
    <w:rPr>
      <w:sz w:val="18"/>
      <w:szCs w:val="18"/>
    </w:rPr>
  </w:style>
  <w:style w:type="paragraph" w:styleId="10">
    <w:name w:val="footer"/>
    <w:basedOn w:val="1"/>
    <w:link w:val="53"/>
    <w:qFormat/>
    <w:uiPriority w:val="0"/>
    <w:pPr>
      <w:tabs>
        <w:tab w:val="center" w:pos="4153"/>
        <w:tab w:val="right" w:pos="8306"/>
      </w:tabs>
      <w:snapToGrid w:val="0"/>
      <w:jc w:val="left"/>
    </w:pPr>
    <w:rPr>
      <w:sz w:val="18"/>
      <w:szCs w:val="18"/>
    </w:rPr>
  </w:style>
  <w:style w:type="paragraph" w:styleId="11">
    <w:name w:val="header"/>
    <w:basedOn w:val="1"/>
    <w:link w:val="52"/>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0"/>
    <w:pPr>
      <w:tabs>
        <w:tab w:val="left" w:pos="420"/>
        <w:tab w:val="right" w:leader="dot" w:pos="8296"/>
      </w:tabs>
      <w:spacing w:before="240" w:after="120"/>
      <w:jc w:val="left"/>
    </w:pPr>
    <w:rPr>
      <w:b/>
      <w:bCs/>
      <w:sz w:val="24"/>
      <w:szCs w:val="20"/>
    </w:rPr>
  </w:style>
  <w:style w:type="paragraph" w:styleId="13">
    <w:name w:val="footnote text"/>
    <w:basedOn w:val="1"/>
    <w:link w:val="80"/>
    <w:qFormat/>
    <w:uiPriority w:val="0"/>
    <w:pPr>
      <w:spacing w:line="240" w:lineRule="auto"/>
    </w:pPr>
    <w:rPr>
      <w:szCs w:val="20"/>
    </w:rPr>
  </w:style>
  <w:style w:type="paragraph" w:styleId="14">
    <w:name w:val="toc 2"/>
    <w:basedOn w:val="1"/>
    <w:next w:val="1"/>
    <w:qFormat/>
    <w:uiPriority w:val="0"/>
    <w:pPr>
      <w:tabs>
        <w:tab w:val="left" w:pos="880"/>
        <w:tab w:val="right" w:leader="dot" w:pos="8296"/>
      </w:tabs>
      <w:spacing w:before="120"/>
      <w:ind w:left="210"/>
      <w:jc w:val="left"/>
    </w:pPr>
    <w:rPr>
      <w:i/>
      <w:iCs/>
      <w:sz w:val="21"/>
      <w:szCs w:val="20"/>
    </w:rPr>
  </w:style>
  <w:style w:type="paragraph" w:styleId="15">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61"/>
    <w:qFormat/>
    <w:uiPriority w:val="0"/>
    <w:rPr>
      <w:b/>
      <w:bCs/>
    </w:rPr>
  </w:style>
  <w:style w:type="table" w:styleId="18">
    <w:name w:val="Table Grid"/>
    <w:basedOn w:val="1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0"/>
    <w:rPr>
      <w:b/>
      <w:bCs/>
    </w:rPr>
  </w:style>
  <w:style w:type="character" w:styleId="21">
    <w:name w:val="page number"/>
    <w:basedOn w:val="19"/>
    <w:qFormat/>
    <w:uiPriority w:val="0"/>
  </w:style>
  <w:style w:type="character" w:styleId="22">
    <w:name w:val="FollowedHyperlink"/>
    <w:basedOn w:val="19"/>
    <w:qFormat/>
    <w:uiPriority w:val="0"/>
    <w:rPr>
      <w:color w:val="954F72" w:themeColor="followedHyperlink"/>
      <w:u w:val="single"/>
      <w14:textFill>
        <w14:solidFill>
          <w14:schemeClr w14:val="folHlink"/>
        </w14:solidFill>
      </w14:textFill>
    </w:rPr>
  </w:style>
  <w:style w:type="character" w:styleId="23">
    <w:name w:val="Emphasis"/>
    <w:basedOn w:val="19"/>
    <w:qFormat/>
    <w:uiPriority w:val="0"/>
    <w:rPr>
      <w:i/>
      <w:iCs/>
    </w:rPr>
  </w:style>
  <w:style w:type="character" w:styleId="24">
    <w:name w:val="Hyperlink"/>
    <w:basedOn w:val="19"/>
    <w:qFormat/>
    <w:uiPriority w:val="0"/>
    <w:rPr>
      <w:color w:val="0563C1" w:themeColor="hyperlink"/>
      <w:u w:val="single"/>
      <w14:textFill>
        <w14:solidFill>
          <w14:schemeClr w14:val="hlink"/>
        </w14:solidFill>
      </w14:textFill>
    </w:rPr>
  </w:style>
  <w:style w:type="character" w:styleId="25">
    <w:name w:val="annotation reference"/>
    <w:basedOn w:val="19"/>
    <w:qFormat/>
    <w:uiPriority w:val="0"/>
    <w:rPr>
      <w:sz w:val="21"/>
      <w:szCs w:val="21"/>
    </w:rPr>
  </w:style>
  <w:style w:type="character" w:styleId="26">
    <w:name w:val="footnote reference"/>
    <w:basedOn w:val="19"/>
    <w:qFormat/>
    <w:uiPriority w:val="0"/>
    <w:rPr>
      <w:vertAlign w:val="superscript"/>
    </w:rPr>
  </w:style>
  <w:style w:type="paragraph" w:customStyle="1" w:styleId="27">
    <w:name w:val="普通正文"/>
    <w:basedOn w:val="1"/>
    <w:link w:val="28"/>
    <w:qFormat/>
    <w:uiPriority w:val="0"/>
    <w:pPr>
      <w:spacing w:line="420" w:lineRule="exact"/>
      <w:ind w:firstLine="200" w:firstLineChars="200"/>
    </w:pPr>
    <w:rPr>
      <w:rFonts w:cs="微软雅黑"/>
      <w:color w:val="000000" w:themeColor="text1"/>
      <w:sz w:val="24"/>
      <w:szCs w:val="21"/>
      <w14:textFill>
        <w14:solidFill>
          <w14:schemeClr w14:val="tx1"/>
        </w14:solidFill>
      </w14:textFill>
    </w:rPr>
  </w:style>
  <w:style w:type="character" w:customStyle="1" w:styleId="28">
    <w:name w:val="普通正文 字符"/>
    <w:basedOn w:val="19"/>
    <w:link w:val="27"/>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29">
    <w:name w:val="附录"/>
    <w:basedOn w:val="1"/>
    <w:qFormat/>
    <w:uiPriority w:val="0"/>
    <w:pPr>
      <w:widowControl/>
      <w:numPr>
        <w:ilvl w:val="0"/>
        <w:numId w:val="2"/>
      </w:numPr>
      <w:ind w:left="50" w:leftChars="50" w:hanging="75" w:hangingChars="75"/>
      <w:jc w:val="left"/>
    </w:pPr>
    <w:rPr>
      <w:rFonts w:ascii="等线 Light" w:hAnsi="等线 Light" w:eastAsia="思源黑体 CN Normal"/>
      <w:b/>
      <w:bCs/>
      <w:color w:val="FF0000"/>
      <w:kern w:val="44"/>
      <w:sz w:val="44"/>
      <w:szCs w:val="44"/>
    </w:rPr>
  </w:style>
  <w:style w:type="character" w:customStyle="1" w:styleId="30">
    <w:name w:val="一级标题 字符"/>
    <w:basedOn w:val="31"/>
    <w:link w:val="32"/>
    <w:qFormat/>
    <w:uiPriority w:val="0"/>
    <w:rPr>
      <w:rFonts w:ascii="思源黑体 CN Heavy" w:hAnsi="思源黑体 CN Heavy" w:eastAsia="思源黑体 CN Heavy"/>
      <w:color w:val="E6233C"/>
      <w:kern w:val="44"/>
      <w:sz w:val="44"/>
      <w:szCs w:val="44"/>
    </w:rPr>
  </w:style>
  <w:style w:type="character" w:customStyle="1" w:styleId="31">
    <w:name w:val="标题 1 字符"/>
    <w:basedOn w:val="19"/>
    <w:link w:val="2"/>
    <w:qFormat/>
    <w:uiPriority w:val="9"/>
    <w:rPr>
      <w:rFonts w:ascii="微软雅黑" w:hAnsi="微软雅黑" w:eastAsia="微软雅黑"/>
      <w:b/>
      <w:bCs/>
      <w:color w:val="F0463C"/>
      <w:kern w:val="44"/>
      <w:sz w:val="44"/>
      <w:szCs w:val="44"/>
    </w:rPr>
  </w:style>
  <w:style w:type="paragraph" w:customStyle="1" w:styleId="32">
    <w:name w:val="一级标题"/>
    <w:basedOn w:val="2"/>
    <w:link w:val="30"/>
    <w:qFormat/>
    <w:uiPriority w:val="0"/>
    <w:pPr>
      <w:numPr>
        <w:ilvl w:val="0"/>
        <w:numId w:val="3"/>
      </w:numPr>
    </w:pPr>
    <w:rPr>
      <w:rFonts w:ascii="思源黑体 CN Heavy" w:hAnsi="思源黑体 CN Heavy" w:eastAsia="思源黑体 CN Heavy"/>
      <w:color w:val="E6233C"/>
    </w:rPr>
  </w:style>
  <w:style w:type="paragraph" w:customStyle="1" w:styleId="33">
    <w:name w:val="规则"/>
    <w:basedOn w:val="34"/>
    <w:link w:val="39"/>
    <w:qFormat/>
    <w:uiPriority w:val="0"/>
    <w:pPr>
      <w:numPr>
        <w:ilvl w:val="0"/>
        <w:numId w:val="4"/>
      </w:numPr>
    </w:pPr>
    <w:rPr>
      <w:rFonts w:cs="Arial"/>
      <w14:scene3d>
        <w14:lightRig w14:rig="threePt" w14:dir="t">
          <w14:rot w14:lat="0" w14:lon="0" w14:rev="0"/>
        </w14:lightRig>
      </w14:scene3d>
    </w:rPr>
  </w:style>
  <w:style w:type="paragraph" w:customStyle="1" w:styleId="34">
    <w:name w:val="技术规范"/>
    <w:basedOn w:val="1"/>
    <w:next w:val="35"/>
    <w:link w:val="40"/>
    <w:qFormat/>
    <w:uiPriority w:val="0"/>
    <w:pPr>
      <w:numPr>
        <w:ilvl w:val="0"/>
        <w:numId w:val="5"/>
      </w:numPr>
      <w:spacing w:line="420" w:lineRule="exact"/>
      <w:ind w:left="0" w:firstLine="200" w:firstLineChars="200"/>
    </w:pPr>
    <w:rPr>
      <w:rFonts w:cs="微软雅黑"/>
      <w:sz w:val="24"/>
      <w:szCs w:val="21"/>
      <w:lang w:val="en-GB"/>
    </w:rPr>
  </w:style>
  <w:style w:type="paragraph" w:customStyle="1" w:styleId="35">
    <w:name w:val="规则解释"/>
    <w:basedOn w:val="36"/>
    <w:next w:val="36"/>
    <w:qFormat/>
    <w:uiPriority w:val="0"/>
    <w:pPr>
      <w:numPr>
        <w:ilvl w:val="0"/>
        <w:numId w:val="6"/>
      </w:numPr>
      <w:spacing w:line="420" w:lineRule="exact"/>
      <w:ind w:left="0" w:firstLine="3203" w:firstLineChars="200"/>
    </w:pPr>
    <w:rPr>
      <w:rFonts w:cs="等线 Light"/>
    </w:rPr>
  </w:style>
  <w:style w:type="paragraph" w:customStyle="1" w:styleId="36">
    <w:name w:val="解释"/>
    <w:basedOn w:val="37"/>
    <w:link w:val="41"/>
    <w:qFormat/>
    <w:uiPriority w:val="0"/>
    <w:pPr>
      <w:numPr>
        <w:numId w:val="0"/>
      </w:numPr>
      <w:ind w:left="1271" w:hanging="420"/>
    </w:pPr>
    <w:rPr>
      <w:rFonts w:ascii="微软雅黑" w:hAnsi="微软雅黑"/>
    </w:rPr>
  </w:style>
  <w:style w:type="paragraph" w:customStyle="1" w:styleId="37">
    <w:name w:val="符号正文"/>
    <w:basedOn w:val="38"/>
    <w:link w:val="42"/>
    <w:qFormat/>
    <w:uiPriority w:val="0"/>
    <w:pPr>
      <w:numPr>
        <w:ilvl w:val="0"/>
        <w:numId w:val="7"/>
      </w:numPr>
      <w:spacing w:line="240" w:lineRule="auto"/>
      <w:ind w:firstLine="0" w:firstLineChars="0"/>
    </w:pPr>
    <w:rPr>
      <w:rFonts w:eastAsia="微软雅黑" w:cs="微软雅黑"/>
      <w:sz w:val="24"/>
      <w:szCs w:val="21"/>
    </w:rPr>
  </w:style>
  <w:style w:type="paragraph" w:customStyle="1" w:styleId="38">
    <w:name w:val="列表段落1"/>
    <w:basedOn w:val="1"/>
    <w:link w:val="43"/>
    <w:qFormat/>
    <w:uiPriority w:val="99"/>
    <w:pPr>
      <w:ind w:firstLine="420" w:firstLineChars="200"/>
    </w:pPr>
  </w:style>
  <w:style w:type="character" w:customStyle="1" w:styleId="39">
    <w:name w:val="规则 Char1"/>
    <w:basedOn w:val="19"/>
    <w:link w:val="33"/>
    <w:qFormat/>
    <w:uiPriority w:val="0"/>
    <w:rPr>
      <w:rFonts w:ascii="思源黑体 CN Regular" w:hAnsi="思源黑体 CN Regular" w:eastAsia="思源黑体 CN Regular" w:cs="Arial"/>
      <w:kern w:val="2"/>
      <w:sz w:val="24"/>
      <w:szCs w:val="21"/>
      <w:lang w:val="en-GB"/>
      <w14:scene3d>
        <w14:lightRig w14:rig="threePt" w14:dir="t">
          <w14:rot w14:lat="0" w14:lon="0" w14:rev="0"/>
        </w14:lightRig>
      </w14:scene3d>
    </w:rPr>
  </w:style>
  <w:style w:type="character" w:customStyle="1" w:styleId="40">
    <w:name w:val="技术规范 Char"/>
    <w:basedOn w:val="19"/>
    <w:link w:val="34"/>
    <w:qFormat/>
    <w:uiPriority w:val="0"/>
    <w:rPr>
      <w:rFonts w:ascii="思源黑体 CN Regular" w:hAnsi="思源黑体 CN Regular" w:eastAsia="思源黑体 CN Regular" w:cs="微软雅黑"/>
      <w:kern w:val="2"/>
      <w:sz w:val="24"/>
      <w:szCs w:val="21"/>
      <w:lang w:val="en-GB"/>
    </w:rPr>
  </w:style>
  <w:style w:type="character" w:customStyle="1" w:styleId="41">
    <w:name w:val="解释 Char"/>
    <w:basedOn w:val="42"/>
    <w:link w:val="36"/>
    <w:qFormat/>
    <w:uiPriority w:val="0"/>
    <w:rPr>
      <w:rFonts w:ascii="微软雅黑" w:hAnsi="微软雅黑" w:eastAsia="微软雅黑" w:cs="微软雅黑"/>
      <w:kern w:val="2"/>
      <w:sz w:val="24"/>
      <w:szCs w:val="21"/>
    </w:rPr>
  </w:style>
  <w:style w:type="character" w:customStyle="1" w:styleId="42">
    <w:name w:val="符号正文 字符"/>
    <w:basedOn w:val="43"/>
    <w:link w:val="37"/>
    <w:qFormat/>
    <w:uiPriority w:val="0"/>
    <w:rPr>
      <w:rFonts w:ascii="思源黑体 CN Regular" w:hAnsi="思源黑体 CN Regular" w:eastAsia="微软雅黑" w:cs="微软雅黑"/>
      <w:kern w:val="2"/>
      <w:sz w:val="24"/>
      <w:szCs w:val="21"/>
    </w:rPr>
  </w:style>
  <w:style w:type="character" w:customStyle="1" w:styleId="43">
    <w:name w:val="列表段落 字符"/>
    <w:basedOn w:val="19"/>
    <w:link w:val="38"/>
    <w:qFormat/>
    <w:uiPriority w:val="34"/>
  </w:style>
  <w:style w:type="character" w:customStyle="1" w:styleId="44">
    <w:name w:val="标题 2 字符"/>
    <w:basedOn w:val="19"/>
    <w:link w:val="3"/>
    <w:qFormat/>
    <w:uiPriority w:val="9"/>
    <w:rPr>
      <w:rFonts w:asciiTheme="majorHAnsi" w:hAnsiTheme="majorHAnsi" w:eastAsiaTheme="majorEastAsia" w:cstheme="majorBidi"/>
      <w:b/>
      <w:bCs/>
      <w:color w:val="F0463C"/>
      <w:kern w:val="2"/>
      <w:sz w:val="32"/>
      <w:szCs w:val="32"/>
    </w:rPr>
  </w:style>
  <w:style w:type="paragraph" w:customStyle="1" w:styleId="45">
    <w:name w:val="列出段落11"/>
    <w:basedOn w:val="1"/>
    <w:qFormat/>
    <w:uiPriority w:val="34"/>
    <w:rPr>
      <w:rFonts w:ascii="Times New Roman" w:hAnsi="Times New Roman" w:eastAsia="宋体" w:cs="Times New Roman"/>
      <w:szCs w:val="20"/>
    </w:rPr>
  </w:style>
  <w:style w:type="paragraph" w:customStyle="1" w:styleId="46">
    <w:name w:val="CN规则 正文"/>
    <w:basedOn w:val="1"/>
    <w:link w:val="47"/>
    <w:qFormat/>
    <w:uiPriority w:val="0"/>
    <w:pPr>
      <w:spacing w:line="420" w:lineRule="exact"/>
      <w:ind w:firstLine="471"/>
    </w:pPr>
    <w:rPr>
      <w:rFonts w:cs="微软雅黑"/>
      <w:color w:val="000000" w:themeColor="text1"/>
      <w:sz w:val="24"/>
      <w:szCs w:val="21"/>
      <w14:textFill>
        <w14:solidFill>
          <w14:schemeClr w14:val="tx1"/>
        </w14:solidFill>
      </w14:textFill>
    </w:rPr>
  </w:style>
  <w:style w:type="character" w:customStyle="1" w:styleId="47">
    <w:name w:val="CN规则 正文 字符"/>
    <w:basedOn w:val="19"/>
    <w:link w:val="46"/>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48">
    <w:name w:val="二级标题1"/>
    <w:basedOn w:val="3"/>
    <w:next w:val="1"/>
    <w:link w:val="49"/>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49">
    <w:name w:val="二级标题1 Char"/>
    <w:basedOn w:val="44"/>
    <w:link w:val="48"/>
    <w:qFormat/>
    <w:uiPriority w:val="0"/>
    <w:rPr>
      <w:rFonts w:ascii="思源黑体 CN Heavy" w:hAnsi="思源黑体 CN Heavy" w:eastAsia="思源黑体 CN Heavy" w:cstheme="majorBidi"/>
      <w:color w:val="E6233C"/>
      <w:kern w:val="2"/>
      <w:sz w:val="32"/>
      <w:szCs w:val="32"/>
    </w:rPr>
  </w:style>
  <w:style w:type="paragraph" w:customStyle="1" w:styleId="50">
    <w:name w:val="三级标题"/>
    <w:basedOn w:val="46"/>
    <w:link w:val="51"/>
    <w:qFormat/>
    <w:uiPriority w:val="0"/>
    <w:pPr>
      <w:ind w:firstLine="0"/>
      <w:outlineLvl w:val="2"/>
    </w:pPr>
    <w:rPr>
      <w:b/>
      <w:color w:val="F0463C"/>
    </w:rPr>
  </w:style>
  <w:style w:type="character" w:customStyle="1" w:styleId="51">
    <w:name w:val="三级标题 字符"/>
    <w:basedOn w:val="28"/>
    <w:link w:val="50"/>
    <w:qFormat/>
    <w:uiPriority w:val="0"/>
    <w:rPr>
      <w:rFonts w:ascii="微软雅黑" w:hAnsi="微软雅黑" w:eastAsia="微软雅黑" w:cs="微软雅黑"/>
      <w:b/>
      <w:color w:val="F0463C"/>
      <w:kern w:val="2"/>
      <w:sz w:val="24"/>
      <w:szCs w:val="21"/>
    </w:rPr>
  </w:style>
  <w:style w:type="character" w:customStyle="1" w:styleId="52">
    <w:name w:val="页眉 字符"/>
    <w:basedOn w:val="19"/>
    <w:link w:val="11"/>
    <w:qFormat/>
    <w:uiPriority w:val="99"/>
    <w:rPr>
      <w:sz w:val="18"/>
      <w:szCs w:val="18"/>
    </w:rPr>
  </w:style>
  <w:style w:type="character" w:customStyle="1" w:styleId="53">
    <w:name w:val="页脚 字符"/>
    <w:basedOn w:val="19"/>
    <w:link w:val="10"/>
    <w:qFormat/>
    <w:uiPriority w:val="99"/>
    <w:rPr>
      <w:sz w:val="18"/>
      <w:szCs w:val="18"/>
    </w:rPr>
  </w:style>
  <w:style w:type="paragraph" w:customStyle="1" w:styleId="54">
    <w:name w:val="三级标题1"/>
    <w:basedOn w:val="50"/>
    <w:link w:val="55"/>
    <w:qFormat/>
    <w:uiPriority w:val="0"/>
    <w:pPr>
      <w:numPr>
        <w:ilvl w:val="2"/>
        <w:numId w:val="8"/>
      </w:numPr>
    </w:pPr>
  </w:style>
  <w:style w:type="character" w:customStyle="1" w:styleId="55">
    <w:name w:val="三级标题1 字符"/>
    <w:basedOn w:val="51"/>
    <w:link w:val="54"/>
    <w:qFormat/>
    <w:uiPriority w:val="0"/>
    <w:rPr>
      <w:rFonts w:ascii="思源黑体 CN Regular" w:hAnsi="思源黑体 CN Regular" w:eastAsia="思源黑体 CN Regular" w:cs="微软雅黑"/>
      <w:color w:val="F0463C"/>
      <w:kern w:val="2"/>
      <w:sz w:val="24"/>
      <w:szCs w:val="21"/>
    </w:rPr>
  </w:style>
  <w:style w:type="paragraph" w:customStyle="1" w:styleId="56">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57">
    <w:name w:val="inline-comment-marker"/>
    <w:basedOn w:val="19"/>
    <w:qFormat/>
    <w:uiPriority w:val="0"/>
  </w:style>
  <w:style w:type="character" w:customStyle="1" w:styleId="58">
    <w:name w:val="批注框文本 字符"/>
    <w:basedOn w:val="19"/>
    <w:link w:val="9"/>
    <w:semiHidden/>
    <w:qFormat/>
    <w:uiPriority w:val="99"/>
    <w:rPr>
      <w:sz w:val="18"/>
      <w:szCs w:val="18"/>
    </w:rPr>
  </w:style>
  <w:style w:type="character" w:customStyle="1" w:styleId="59">
    <w:name w:val="不明显强调1"/>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60">
    <w:name w:val="批注文字 字符"/>
    <w:basedOn w:val="19"/>
    <w:link w:val="7"/>
    <w:semiHidden/>
    <w:qFormat/>
    <w:uiPriority w:val="99"/>
  </w:style>
  <w:style w:type="character" w:customStyle="1" w:styleId="61">
    <w:name w:val="批注主题 字符"/>
    <w:basedOn w:val="60"/>
    <w:link w:val="16"/>
    <w:qFormat/>
    <w:uiPriority w:val="0"/>
    <w:rPr>
      <w:b/>
      <w:bCs/>
    </w:rPr>
  </w:style>
  <w:style w:type="paragraph" w:customStyle="1" w:styleId="62">
    <w:name w:val="任务"/>
    <w:basedOn w:val="34"/>
    <w:link w:val="63"/>
    <w:qFormat/>
    <w:uiPriority w:val="0"/>
    <w:pPr>
      <w:numPr>
        <w:ilvl w:val="0"/>
        <w:numId w:val="9"/>
      </w:numPr>
    </w:pPr>
    <w:rPr>
      <w:rFonts w:ascii="思源黑体 CN Heavy" w:hAnsi="思源黑体 CN Heavy" w:eastAsia="思源黑体 CN Heavy"/>
      <w:b/>
      <w14:scene3d>
        <w14:lightRig w14:rig="threePt" w14:dir="t">
          <w14:rot w14:lat="0" w14:lon="0" w14:rev="0"/>
        </w14:lightRig>
      </w14:scene3d>
    </w:rPr>
  </w:style>
  <w:style w:type="character" w:customStyle="1" w:styleId="63">
    <w:name w:val="任务 Char"/>
    <w:basedOn w:val="19"/>
    <w:link w:val="62"/>
    <w:qFormat/>
    <w:uiPriority w:val="0"/>
    <w:rPr>
      <w:rFonts w:ascii="思源黑体 CN Heavy" w:hAnsi="思源黑体 CN Heavy" w:eastAsia="思源黑体 CN Heavy" w:cs="微软雅黑"/>
      <w:b/>
      <w:kern w:val="2"/>
      <w:sz w:val="24"/>
      <w:szCs w:val="21"/>
      <w:lang w:val="en-GB"/>
      <w14:scene3d>
        <w14:lightRig w14:rig="threePt" w14:dir="t">
          <w14:rot w14:lat="0" w14:lon="0" w14:rev="0"/>
        </w14:lightRig>
      </w14:scene3d>
    </w:rPr>
  </w:style>
  <w:style w:type="paragraph" w:customStyle="1" w:styleId="64">
    <w:name w:val="Default"/>
    <w:qForma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65">
    <w:name w:val="标题 3 字符"/>
    <w:basedOn w:val="19"/>
    <w:link w:val="4"/>
    <w:semiHidden/>
    <w:qFormat/>
    <w:uiPriority w:val="9"/>
    <w:rPr>
      <w:rFonts w:asciiTheme="majorHAnsi" w:hAnsiTheme="majorHAnsi" w:eastAsiaTheme="majorEastAsia" w:cstheme="majorBidi"/>
      <w:color w:val="1F4E79" w:themeColor="accent1" w:themeShade="80"/>
      <w:sz w:val="24"/>
      <w:szCs w:val="24"/>
    </w:rPr>
  </w:style>
  <w:style w:type="character" w:customStyle="1" w:styleId="66">
    <w:name w:val="标题 5 字符"/>
    <w:basedOn w:val="19"/>
    <w:link w:val="6"/>
    <w:semiHidden/>
    <w:qFormat/>
    <w:uiPriority w:val="9"/>
    <w:rPr>
      <w:rFonts w:asciiTheme="majorHAnsi" w:hAnsiTheme="majorHAnsi" w:eastAsiaTheme="majorEastAsia" w:cstheme="majorBidi"/>
      <w:color w:val="2E75B6" w:themeColor="accent1" w:themeShade="BF"/>
    </w:rPr>
  </w:style>
  <w:style w:type="paragraph" w:customStyle="1" w:styleId="67">
    <w:name w:val="a"/>
    <w:basedOn w:val="1"/>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8">
    <w:name w:val="ql-author-14022863"/>
    <w:basedOn w:val="19"/>
    <w:qFormat/>
    <w:uiPriority w:val="0"/>
  </w:style>
  <w:style w:type="character" w:customStyle="1" w:styleId="69">
    <w:name w:val="ql-author-13496091"/>
    <w:basedOn w:val="19"/>
    <w:qFormat/>
    <w:uiPriority w:val="0"/>
  </w:style>
  <w:style w:type="character" w:customStyle="1" w:styleId="70">
    <w:name w:val="ql-author-15805597"/>
    <w:basedOn w:val="19"/>
    <w:qFormat/>
    <w:uiPriority w:val="0"/>
  </w:style>
  <w:style w:type="paragraph" w:customStyle="1" w:styleId="71">
    <w:name w:val="无间隔1"/>
    <w:basedOn w:val="54"/>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72">
    <w:name w:val="标题 4 字符"/>
    <w:basedOn w:val="19"/>
    <w:link w:val="5"/>
    <w:semiHidden/>
    <w:qFormat/>
    <w:uiPriority w:val="9"/>
    <w:rPr>
      <w:rFonts w:asciiTheme="majorHAnsi" w:hAnsiTheme="majorHAnsi" w:eastAsiaTheme="majorEastAsia" w:cstheme="majorBidi"/>
      <w:b/>
      <w:bCs/>
      <w:sz w:val="28"/>
      <w:szCs w:val="28"/>
    </w:rPr>
  </w:style>
  <w:style w:type="character" w:customStyle="1" w:styleId="73">
    <w:name w:val="规则 Char"/>
    <w:basedOn w:val="47"/>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74">
    <w:name w:val="修订1"/>
    <w:hidden/>
    <w:semiHidden/>
    <w:qFormat/>
    <w:uiPriority w:val="99"/>
    <w:rPr>
      <w:rFonts w:asciiTheme="minorHAnsi" w:hAnsiTheme="minorHAnsi" w:eastAsiaTheme="minorEastAsia" w:cstheme="minorBidi"/>
      <w:kern w:val="2"/>
      <w:sz w:val="21"/>
      <w:szCs w:val="22"/>
      <w:lang w:val="en-US" w:eastAsia="zh-CN" w:bidi="ar-SA"/>
    </w:rPr>
  </w:style>
  <w:style w:type="table" w:customStyle="1" w:styleId="75">
    <w:name w:val="网格表 5 深色 - 着色 51"/>
    <w:basedOn w:val="1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6">
    <w:name w:val="无格式表格 31"/>
    <w:basedOn w:val="17"/>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7">
    <w:name w:val="清单表 7 彩色 - 着色 21"/>
    <w:basedOn w:val="17"/>
    <w:qFormat/>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8">
    <w:name w:val="标题1"/>
    <w:basedOn w:val="1"/>
    <w:link w:val="79"/>
    <w:qFormat/>
    <w:uiPriority w:val="0"/>
    <w:pPr>
      <w:spacing w:line="240" w:lineRule="auto"/>
      <w:jc w:val="center"/>
    </w:pPr>
    <w:rPr>
      <w:b/>
      <w:sz w:val="52"/>
      <w:szCs w:val="44"/>
    </w:rPr>
  </w:style>
  <w:style w:type="character" w:customStyle="1" w:styleId="79">
    <w:name w:val="标题 Char"/>
    <w:basedOn w:val="19"/>
    <w:link w:val="78"/>
    <w:qFormat/>
    <w:uiPriority w:val="0"/>
    <w:rPr>
      <w:rFonts w:ascii="思源黑体 CN Regular" w:hAnsi="思源黑体 CN Regular" w:eastAsia="思源黑体 CN Regular"/>
      <w:b/>
      <w:sz w:val="52"/>
      <w:szCs w:val="44"/>
    </w:rPr>
  </w:style>
  <w:style w:type="character" w:customStyle="1" w:styleId="80">
    <w:name w:val="脚注文本 字符"/>
    <w:basedOn w:val="19"/>
    <w:link w:val="13"/>
    <w:semiHidden/>
    <w:qFormat/>
    <w:uiPriority w:val="99"/>
    <w:rPr>
      <w:rFonts w:ascii="思源黑体 CN Regular" w:hAnsi="思源黑体 CN Regular"/>
      <w:sz w:val="20"/>
      <w:szCs w:val="20"/>
    </w:rPr>
  </w:style>
  <w:style w:type="character" w:customStyle="1" w:styleId="81">
    <w:name w:val="未处理的提及1"/>
    <w:basedOn w:val="19"/>
    <w:unhideWhenUsed/>
    <w:qFormat/>
    <w:uiPriority w:val="99"/>
    <w:rPr>
      <w:color w:val="605E5C"/>
      <w:shd w:val="clear" w:color="auto" w:fill="E1DFDD"/>
    </w:rPr>
  </w:style>
  <w:style w:type="character" w:customStyle="1" w:styleId="82">
    <w:name w:val="三级标题1 Char"/>
    <w:basedOn w:val="51"/>
    <w:qFormat/>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83">
    <w:name w:val="目录"/>
    <w:basedOn w:val="1"/>
    <w:link w:val="85"/>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84">
    <w:name w:val="CN规则一级标题"/>
    <w:basedOn w:val="32"/>
    <w:link w:val="87"/>
    <w:qFormat/>
    <w:uiPriority w:val="0"/>
    <w:pPr>
      <w:spacing w:line="420" w:lineRule="exact"/>
    </w:pPr>
  </w:style>
  <w:style w:type="character" w:customStyle="1" w:styleId="85">
    <w:name w:val="目录 Char"/>
    <w:basedOn w:val="19"/>
    <w:link w:val="83"/>
    <w:qFormat/>
    <w:uiPriority w:val="0"/>
    <w:rPr>
      <w:rFonts w:ascii="思源黑体 CN Heavy" w:hAnsi="思源黑体 CN Heavy" w:eastAsia="思源黑体 CN Heavy" w:cs="微软雅黑"/>
      <w:b/>
      <w:color w:val="E6233C"/>
      <w:sz w:val="44"/>
      <w:szCs w:val="44"/>
    </w:rPr>
  </w:style>
  <w:style w:type="paragraph" w:customStyle="1" w:styleId="86">
    <w:name w:val="CN规则二级标题"/>
    <w:basedOn w:val="48"/>
    <w:link w:val="88"/>
    <w:qFormat/>
    <w:uiPriority w:val="0"/>
    <w:pPr>
      <w:spacing w:line="420" w:lineRule="exact"/>
    </w:pPr>
  </w:style>
  <w:style w:type="character" w:customStyle="1" w:styleId="87">
    <w:name w:val="CN规则一级标题 字符"/>
    <w:basedOn w:val="30"/>
    <w:link w:val="84"/>
    <w:qFormat/>
    <w:uiPriority w:val="0"/>
    <w:rPr>
      <w:rFonts w:ascii="思源黑体 CN Heavy" w:hAnsi="思源黑体 CN Heavy" w:eastAsia="思源黑体 CN Heavy"/>
      <w:color w:val="E6233C"/>
      <w:kern w:val="44"/>
      <w:sz w:val="44"/>
      <w:szCs w:val="44"/>
    </w:rPr>
  </w:style>
  <w:style w:type="character" w:customStyle="1" w:styleId="88">
    <w:name w:val="CN规则二级标题 字符"/>
    <w:basedOn w:val="49"/>
    <w:link w:val="86"/>
    <w:qFormat/>
    <w:uiPriority w:val="0"/>
    <w:rPr>
      <w:rFonts w:ascii="思源黑体 CN Heavy" w:hAnsi="思源黑体 CN Heavy" w:eastAsia="思源黑体 CN Heavy" w:cstheme="majorBidi"/>
      <w:color w:val="E6233C"/>
      <w:kern w:val="2"/>
      <w:sz w:val="32"/>
      <w:szCs w:val="32"/>
    </w:rPr>
  </w:style>
  <w:style w:type="table" w:customStyle="1" w:styleId="89">
    <w:name w:val="网格表 4 - 着色 31"/>
    <w:basedOn w:val="17"/>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90">
    <w:name w:val="网格表 4 - 着色 11"/>
    <w:basedOn w:val="17"/>
    <w:qFormat/>
    <w:uiPriority w:val="49"/>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91">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92">
    <w:name w:val="清单表 3 - 着色 11"/>
    <w:basedOn w:val="17"/>
    <w:qFormat/>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93">
    <w:name w:val="技术"/>
    <w:basedOn w:val="36"/>
    <w:link w:val="94"/>
    <w:qFormat/>
    <w:uiPriority w:val="0"/>
    <w:pPr>
      <w:numPr>
        <w:ilvl w:val="0"/>
        <w:numId w:val="10"/>
      </w:numPr>
    </w:pPr>
  </w:style>
  <w:style w:type="character" w:customStyle="1" w:styleId="94">
    <w:name w:val="技术 Char"/>
    <w:basedOn w:val="41"/>
    <w:link w:val="93"/>
    <w:qFormat/>
    <w:uiPriority w:val="0"/>
    <w:rPr>
      <w:rFonts w:ascii="微软雅黑" w:hAnsi="微软雅黑" w:eastAsia="微软雅黑" w:cs="微软雅黑"/>
      <w:kern w:val="2"/>
      <w:sz w:val="24"/>
      <w:szCs w:val="21"/>
    </w:rPr>
  </w:style>
  <w:style w:type="paragraph" w:customStyle="1" w:styleId="95">
    <w:name w:val="CN规则"/>
    <w:basedOn w:val="1"/>
    <w:link w:val="96"/>
    <w:qFormat/>
    <w:uiPriority w:val="0"/>
    <w:pPr>
      <w:numPr>
        <w:ilvl w:val="0"/>
        <w:numId w:val="11"/>
      </w:numPr>
      <w:tabs>
        <w:tab w:val="left" w:pos="787"/>
      </w:tabs>
      <w:spacing w:line="420" w:lineRule="exact"/>
      <w:ind w:left="1213" w:hanging="363"/>
    </w:pPr>
    <w:rPr>
      <w:sz w:val="24"/>
    </w:rPr>
  </w:style>
  <w:style w:type="character" w:customStyle="1" w:styleId="96">
    <w:name w:val="CN规则 Char"/>
    <w:basedOn w:val="39"/>
    <w:link w:val="95"/>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character" w:customStyle="1" w:styleId="97">
    <w:name w:val="未处理的提及2"/>
    <w:basedOn w:val="19"/>
    <w:unhideWhenUsed/>
    <w:qFormat/>
    <w:uiPriority w:val="99"/>
    <w:rPr>
      <w:color w:val="605E5C"/>
      <w:shd w:val="clear" w:color="auto" w:fill="E1DFDD"/>
    </w:rPr>
  </w:style>
  <w:style w:type="paragraph" w:customStyle="1" w:styleId="98">
    <w:name w:val="E01."/>
    <w:basedOn w:val="34"/>
    <w:link w:val="100"/>
    <w:qFormat/>
    <w:uiPriority w:val="0"/>
    <w:pPr>
      <w:ind w:firstLine="480"/>
    </w:pPr>
  </w:style>
  <w:style w:type="paragraph" w:customStyle="1" w:styleId="99">
    <w:name w:val="E01.样式1"/>
    <w:basedOn w:val="1"/>
    <w:link w:val="102"/>
    <w:qFormat/>
    <w:uiPriority w:val="0"/>
    <w:pPr>
      <w:numPr>
        <w:ilvl w:val="0"/>
        <w:numId w:val="12"/>
      </w:numPr>
      <w:spacing w:line="420" w:lineRule="exact"/>
    </w:pPr>
    <w:rPr>
      <w:sz w:val="24"/>
    </w:rPr>
  </w:style>
  <w:style w:type="character" w:customStyle="1" w:styleId="100">
    <w:name w:val="E01. 字符"/>
    <w:basedOn w:val="40"/>
    <w:link w:val="98"/>
    <w:qFormat/>
    <w:uiPriority w:val="0"/>
    <w:rPr>
      <w:rFonts w:ascii="思源黑体 CN Regular" w:hAnsi="思源黑体 CN Regular" w:eastAsia="思源黑体 CN Regular" w:cs="微软雅黑"/>
      <w:kern w:val="2"/>
      <w:sz w:val="24"/>
      <w:szCs w:val="21"/>
      <w:lang w:val="en-GB"/>
    </w:rPr>
  </w:style>
  <w:style w:type="character" w:customStyle="1" w:styleId="101">
    <w:name w:val="不明显强调2"/>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102">
    <w:name w:val="E01.样式1 字符"/>
    <w:basedOn w:val="96"/>
    <w:link w:val="99"/>
    <w:qFormat/>
    <w:uiPriority w:val="0"/>
    <w:rPr>
      <w:rFonts w:ascii="思源黑体 CN Regular" w:hAnsi="思源黑体 CN Regular" w:eastAsia="思源黑体 CN Regular" w:cs="Arial"/>
      <w:kern w:val="2"/>
      <w:sz w:val="24"/>
      <w:szCs w:val="22"/>
      <w:lang w:val="en-GB"/>
      <w14:scene3d>
        <w14:lightRig w14:rig="threePt" w14:dir="t">
          <w14:rot w14:lat="0" w14:lon="0" w14:rev="0"/>
        </w14:lightRig>
      </w14:scene3d>
    </w:rPr>
  </w:style>
  <w:style w:type="paragraph" w:customStyle="1" w:styleId="103">
    <w:name w:val="一级 标题"/>
    <w:basedOn w:val="32"/>
    <w:qFormat/>
    <w:uiPriority w:val="0"/>
    <w:rPr>
      <w:rFonts w:eastAsia="思源黑体 CN"/>
    </w:rPr>
  </w:style>
  <w:style w:type="paragraph" w:customStyle="1" w:styleId="104">
    <w:name w:val="表格"/>
    <w:basedOn w:val="1"/>
    <w:qFormat/>
    <w:uiPriority w:val="0"/>
    <w:pPr>
      <w:widowControl/>
      <w:spacing w:line="400" w:lineRule="exact"/>
    </w:pPr>
    <w:rPr>
      <w:rFonts w:cs="宋体"/>
      <w:color w:val="000000"/>
      <w:kern w:val="0"/>
      <w:sz w:val="22"/>
      <w:szCs w:val="21"/>
    </w:rPr>
  </w:style>
  <w:style w:type="paragraph" w:customStyle="1" w:styleId="105">
    <w:name w:val="WPSOffice手动目录 1"/>
    <w:qFormat/>
    <w:uiPriority w:val="0"/>
    <w:rPr>
      <w:rFonts w:ascii="Times New Roman" w:hAnsi="Times New Roman" w:eastAsia="宋体" w:cs="Times New Roman"/>
      <w:lang w:val="en-US" w:eastAsia="zh-CN" w:bidi="ar-SA"/>
    </w:rPr>
  </w:style>
  <w:style w:type="paragraph" w:customStyle="1" w:styleId="106">
    <w:name w:val="WPSOffice手动目录 2"/>
    <w:qFormat/>
    <w:uiPriority w:val="0"/>
    <w:pPr>
      <w:ind w:left="200" w:leftChars="200"/>
    </w:pPr>
    <w:rPr>
      <w:rFonts w:ascii="Times New Roman" w:hAnsi="Times New Roman" w:eastAsia="宋体" w:cs="Times New Roman"/>
      <w:lang w:val="en-US" w:eastAsia="zh-CN" w:bidi="ar-SA"/>
    </w:rPr>
  </w:style>
  <w:style w:type="paragraph" w:styleId="107">
    <w:name w:val="List Paragraph"/>
    <w:basedOn w:val="1"/>
    <w:qFormat/>
    <w:uiPriority w:val="99"/>
    <w:pPr>
      <w:ind w:firstLine="420" w:firstLineChars="200"/>
    </w:pPr>
  </w:style>
  <w:style w:type="paragraph" w:customStyle="1" w:styleId="108">
    <w:name w:val="No Spacing"/>
    <w:basedOn w:val="54"/>
    <w:qFormat/>
    <w:uiPriority w:val="0"/>
    <w:pPr>
      <w:spacing w:line="420" w:lineRule="exact"/>
      <w:outlineLvl w:val="2"/>
    </w:pPr>
    <w:rPr>
      <w:rFonts w:ascii="思源黑体 CN Heavy" w:hAnsi="思源黑体 CN Heavy" w:eastAsia="思源黑体 CN Heavy" w:cs="微软雅黑"/>
      <w:color w:val="2E75B5"/>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32</Pages>
  <Words>12136</Words>
  <Characters>12898</Characters>
  <Lines>209</Lines>
  <Paragraphs>59</Paragraphs>
  <TotalTime>3</TotalTime>
  <ScaleCrop>false</ScaleCrop>
  <LinksUpToDate>false</LinksUpToDate>
  <CharactersWithSpaces>13269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2022-02-09T02:06:00Z</dcterms:created>
  <dc:creator>咕咕</dc:creator>
  <cp:keywords>MakeX组委会</cp:keywords>
  <cp:lastModifiedBy>任利军</cp:lastModifiedBy>
  <cp:lastPrinted>2022-02-09T06:26:00Z</cp:lastPrinted>
  <dcterms:modified xsi:type="dcterms:W3CDTF">2023-06-05T02:50:06Z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C01D63AF54014486B02CC06951B92C3D</vt:lpwstr>
  </property>
</Properties>
</file>